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2926" w14:textId="209213CD" w:rsidR="00E203C2" w:rsidRDefault="00E203C2" w:rsidP="00E203C2">
      <w:r>
        <w:rPr>
          <w:noProof/>
          <w:lang w:eastAsia="en-GB" w:bidi="ar-SA"/>
        </w:rPr>
        <w:drawing>
          <wp:inline distT="0" distB="0" distL="0" distR="0" wp14:anchorId="7B831244" wp14:editId="1F0E60F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1C34A0E" w14:textId="77777777" w:rsidR="00E203C2" w:rsidRDefault="00E203C2" w:rsidP="00E203C2"/>
    <w:p w14:paraId="7D8723EF" w14:textId="77777777" w:rsidR="0037182C" w:rsidRPr="0037182C" w:rsidRDefault="0037182C" w:rsidP="0037182C">
      <w:pPr>
        <w:widowControl/>
        <w:tabs>
          <w:tab w:val="left" w:pos="851"/>
        </w:tabs>
        <w:rPr>
          <w:b/>
          <w:sz w:val="28"/>
          <w:szCs w:val="28"/>
          <w:lang w:bidi="ar-SA"/>
        </w:rPr>
      </w:pPr>
      <w:r w:rsidRPr="0037182C">
        <w:rPr>
          <w:b/>
          <w:sz w:val="28"/>
          <w:szCs w:val="28"/>
          <w:lang w:bidi="ar-SA"/>
        </w:rPr>
        <w:t>9 October 2015</w:t>
      </w:r>
    </w:p>
    <w:p w14:paraId="447A7B24" w14:textId="77777777" w:rsidR="0037182C" w:rsidRPr="0037182C" w:rsidRDefault="0037182C" w:rsidP="0037182C">
      <w:pPr>
        <w:widowControl/>
        <w:rPr>
          <w:b/>
          <w:sz w:val="28"/>
          <w:szCs w:val="28"/>
          <w:lang w:bidi="ar-SA"/>
        </w:rPr>
      </w:pPr>
      <w:r w:rsidRPr="0037182C">
        <w:rPr>
          <w:b/>
          <w:sz w:val="28"/>
          <w:szCs w:val="28"/>
          <w:lang w:bidi="ar-SA"/>
        </w:rPr>
        <w:t>[25–15]</w:t>
      </w:r>
    </w:p>
    <w:p w14:paraId="43EB76C5" w14:textId="77777777" w:rsidR="00BA24E2" w:rsidRDefault="00BA24E2" w:rsidP="00E203C2"/>
    <w:p w14:paraId="3B3841AD" w14:textId="1BAC9B16"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8F4C67">
        <w:rPr>
          <w:b/>
        </w:rPr>
        <w:t xml:space="preserve"> </w:t>
      </w:r>
      <w:r w:rsidR="00E203C2" w:rsidRPr="008F4C67">
        <w:rPr>
          <w:b/>
        </w:rPr>
        <w:t>P</w:t>
      </w:r>
      <w:r w:rsidR="00A91DF1" w:rsidRPr="008F4C67">
        <w:rPr>
          <w:b/>
        </w:rPr>
        <w:t>roposal</w:t>
      </w:r>
      <w:r w:rsidR="00D056F1" w:rsidRPr="008F4C67">
        <w:rPr>
          <w:b/>
        </w:rPr>
        <w:t xml:space="preserve"> </w:t>
      </w:r>
      <w:r w:rsidR="00E203C2" w:rsidRPr="008F4C67">
        <w:rPr>
          <w:b/>
        </w:rPr>
        <w:t>P</w:t>
      </w:r>
      <w:r w:rsidR="008F4C67" w:rsidRPr="008F4C67">
        <w:rPr>
          <w:b/>
        </w:rPr>
        <w:t>1039</w:t>
      </w:r>
    </w:p>
    <w:p w14:paraId="783C6914" w14:textId="77777777" w:rsidR="00E203C2" w:rsidRPr="00E203C2" w:rsidRDefault="00E203C2" w:rsidP="00E203C2"/>
    <w:p w14:paraId="40981F4C" w14:textId="4B10642C" w:rsidR="00D056F1" w:rsidRPr="008F4C67" w:rsidRDefault="008F4C67" w:rsidP="002432EE">
      <w:pPr>
        <w:pStyle w:val="FSTitle"/>
      </w:pPr>
      <w:r w:rsidRPr="008F4C67">
        <w:t>Microbiological Criteria for Infant Formula</w:t>
      </w:r>
    </w:p>
    <w:p w14:paraId="26F58A57" w14:textId="77777777" w:rsidR="00E203C2" w:rsidRPr="00E81F6E" w:rsidRDefault="00E203C2" w:rsidP="00E203C2">
      <w:pPr>
        <w:pBdr>
          <w:bottom w:val="single" w:sz="12" w:space="1" w:color="auto"/>
        </w:pBdr>
        <w:spacing w:line="280" w:lineRule="exact"/>
        <w:rPr>
          <w:rFonts w:cs="Arial"/>
          <w:bCs/>
        </w:rPr>
      </w:pPr>
    </w:p>
    <w:p w14:paraId="34C8FC61" w14:textId="77777777" w:rsidR="00E203C2" w:rsidRPr="00E81F6E" w:rsidRDefault="00E203C2" w:rsidP="00E203C2"/>
    <w:p w14:paraId="303F7E4B" w14:textId="0ACDEBCB" w:rsidR="00413CA8" w:rsidRPr="00A07F6D" w:rsidRDefault="00E063C6" w:rsidP="00413CA8">
      <w:pPr>
        <w:rPr>
          <w:sz w:val="20"/>
          <w:szCs w:val="20"/>
        </w:rPr>
      </w:pPr>
      <w:r w:rsidRPr="00A07F6D">
        <w:rPr>
          <w:sz w:val="20"/>
          <w:szCs w:val="20"/>
        </w:rPr>
        <w:t xml:space="preserve">FSANZ </w:t>
      </w:r>
      <w:r w:rsidR="00413CA8" w:rsidRPr="00A07F6D">
        <w:rPr>
          <w:sz w:val="20"/>
          <w:szCs w:val="20"/>
        </w:rPr>
        <w:t>has assessed a</w:t>
      </w:r>
      <w:r w:rsidR="00D81D38" w:rsidRPr="00A07F6D">
        <w:rPr>
          <w:sz w:val="20"/>
          <w:szCs w:val="20"/>
        </w:rPr>
        <w:t xml:space="preserve"> proposal prepared </w:t>
      </w:r>
      <w:r w:rsidR="00413CA8" w:rsidRPr="00A07F6D">
        <w:rPr>
          <w:sz w:val="20"/>
          <w:szCs w:val="20"/>
        </w:rPr>
        <w:t xml:space="preserve">to </w:t>
      </w:r>
      <w:r w:rsidR="00A07F6D" w:rsidRPr="00A07F6D">
        <w:rPr>
          <w:sz w:val="20"/>
          <w:szCs w:val="20"/>
          <w:lang w:val="en-AU"/>
        </w:rPr>
        <w:t>consider food safety microbiological criteria for infant formula, aligning with international (Codex) standards</w:t>
      </w:r>
      <w:r w:rsidR="00A07F6D" w:rsidRPr="00A07F6D">
        <w:rPr>
          <w:sz w:val="20"/>
          <w:szCs w:val="20"/>
        </w:rPr>
        <w:t xml:space="preserve"> </w:t>
      </w:r>
      <w:r w:rsidR="00D81D38" w:rsidRPr="00A07F6D">
        <w:rPr>
          <w:sz w:val="20"/>
          <w:szCs w:val="20"/>
        </w:rPr>
        <w:t xml:space="preserve">and has prepared a draft </w:t>
      </w:r>
      <w:r w:rsidR="00D8470F" w:rsidRPr="00A07F6D">
        <w:rPr>
          <w:sz w:val="20"/>
          <w:szCs w:val="20"/>
        </w:rPr>
        <w:t>food regulatory measure</w:t>
      </w:r>
      <w:r w:rsidR="00413CA8" w:rsidRPr="00A07F6D">
        <w:rPr>
          <w:sz w:val="20"/>
          <w:szCs w:val="20"/>
        </w:rPr>
        <w:t xml:space="preserve">. </w:t>
      </w:r>
      <w:r w:rsidR="00D81D38" w:rsidRPr="00A07F6D">
        <w:rPr>
          <w:sz w:val="20"/>
          <w:szCs w:val="20"/>
        </w:rPr>
        <w:t>Pursuant to section 6</w:t>
      </w:r>
      <w:r w:rsidR="00413CA8" w:rsidRPr="00A07F6D">
        <w:rPr>
          <w:sz w:val="20"/>
          <w:szCs w:val="20"/>
        </w:rPr>
        <w:t xml:space="preserve">1 of the </w:t>
      </w:r>
      <w:r w:rsidR="00413CA8" w:rsidRPr="00A07F6D">
        <w:rPr>
          <w:i/>
          <w:sz w:val="20"/>
          <w:szCs w:val="20"/>
        </w:rPr>
        <w:t xml:space="preserve">Food Standards Australia New Zealand Act 1991 </w:t>
      </w:r>
      <w:r w:rsidR="00413CA8" w:rsidRPr="00A07F6D">
        <w:rPr>
          <w:sz w:val="20"/>
          <w:szCs w:val="20"/>
        </w:rPr>
        <w:t>(FSANZ Act), FSANZ now calls for submissions to assist consideration</w:t>
      </w:r>
      <w:r w:rsidR="00D81D38" w:rsidRPr="00A07F6D">
        <w:rPr>
          <w:sz w:val="20"/>
          <w:szCs w:val="20"/>
        </w:rPr>
        <w:t xml:space="preserve"> of the draft </w:t>
      </w:r>
      <w:r w:rsidR="00D8470F" w:rsidRPr="00A07F6D">
        <w:rPr>
          <w:sz w:val="20"/>
          <w:szCs w:val="20"/>
        </w:rPr>
        <w:t>food regulatory measure</w:t>
      </w:r>
      <w:r w:rsidR="00D81D38" w:rsidRPr="00A07F6D">
        <w:rPr>
          <w:sz w:val="20"/>
          <w:szCs w:val="20"/>
        </w:rPr>
        <w:t>.</w:t>
      </w:r>
    </w:p>
    <w:p w14:paraId="0EDCD31F" w14:textId="77777777" w:rsidR="00413CA8" w:rsidRDefault="00413CA8" w:rsidP="00413CA8">
      <w:pPr>
        <w:rPr>
          <w:color w:val="FF0000"/>
          <w:sz w:val="20"/>
          <w:szCs w:val="20"/>
        </w:rPr>
      </w:pPr>
    </w:p>
    <w:p w14:paraId="100407D2"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5ACAAEE" w14:textId="77777777" w:rsidR="00D81D38" w:rsidRPr="00276026" w:rsidRDefault="00D81D38" w:rsidP="00276026">
      <w:pPr>
        <w:rPr>
          <w:sz w:val="20"/>
          <w:szCs w:val="20"/>
        </w:rPr>
      </w:pPr>
    </w:p>
    <w:p w14:paraId="4C26234F"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E25660A" w14:textId="77777777" w:rsidR="00876515" w:rsidRPr="00276026" w:rsidRDefault="00876515" w:rsidP="00276026">
      <w:pPr>
        <w:rPr>
          <w:color w:val="000000"/>
          <w:sz w:val="20"/>
          <w:szCs w:val="20"/>
          <w:lang w:val="en-AU"/>
        </w:rPr>
      </w:pPr>
    </w:p>
    <w:p w14:paraId="2BC86D65"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3197490" w14:textId="77777777" w:rsidR="00E203C2" w:rsidRPr="007C174F" w:rsidRDefault="00E203C2" w:rsidP="00E203C2">
      <w:pPr>
        <w:rPr>
          <w:color w:val="000000"/>
          <w:sz w:val="20"/>
          <w:szCs w:val="20"/>
          <w:lang w:val="en-AU"/>
        </w:rPr>
      </w:pPr>
    </w:p>
    <w:p w14:paraId="42998CFB"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17C25CC4" w14:textId="77777777" w:rsidR="00E203C2" w:rsidRPr="007C174F" w:rsidRDefault="00E203C2" w:rsidP="00E203C2">
      <w:pPr>
        <w:rPr>
          <w:color w:val="000000"/>
          <w:sz w:val="20"/>
          <w:szCs w:val="20"/>
          <w:lang w:val="en-AU"/>
        </w:rPr>
      </w:pPr>
    </w:p>
    <w:p w14:paraId="166D8E0B"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3EEF060" w14:textId="77777777" w:rsidR="00E203C2" w:rsidRPr="00E063C6" w:rsidRDefault="00E203C2" w:rsidP="00E203C2">
      <w:pPr>
        <w:rPr>
          <w:color w:val="000000"/>
          <w:lang w:val="en-AU"/>
        </w:rPr>
      </w:pPr>
    </w:p>
    <w:p w14:paraId="00884515" w14:textId="7704105C" w:rsidR="00E063C6" w:rsidRPr="0037182C"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37182C" w:rsidRPr="0037182C">
        <w:rPr>
          <w:rFonts w:cs="Arial"/>
          <w:b/>
          <w:bCs/>
          <w:sz w:val="24"/>
        </w:rPr>
        <w:t>20 November 2015</w:t>
      </w:r>
    </w:p>
    <w:p w14:paraId="06CEDE92" w14:textId="77777777" w:rsidR="00E203C2" w:rsidRPr="007C174F" w:rsidRDefault="00E203C2" w:rsidP="00E203C2">
      <w:pPr>
        <w:rPr>
          <w:sz w:val="20"/>
          <w:szCs w:val="20"/>
          <w:lang w:val="en-AU"/>
        </w:rPr>
      </w:pPr>
    </w:p>
    <w:p w14:paraId="493D3366"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BE9A369" w14:textId="77777777" w:rsidR="00E203C2" w:rsidRPr="007C174F" w:rsidRDefault="00E203C2" w:rsidP="00E203C2">
      <w:pPr>
        <w:rPr>
          <w:sz w:val="20"/>
          <w:szCs w:val="20"/>
          <w:lang w:val="en-AU"/>
        </w:rPr>
      </w:pPr>
    </w:p>
    <w:p w14:paraId="5D2EE316"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ACAAB11" w14:textId="77777777" w:rsidR="00E203C2" w:rsidRPr="003A7725" w:rsidRDefault="00E203C2" w:rsidP="003A7725">
      <w:pPr>
        <w:rPr>
          <w:sz w:val="20"/>
          <w:lang w:val="en-AU"/>
        </w:rPr>
      </w:pPr>
    </w:p>
    <w:p w14:paraId="7C11907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48E08857" w14:textId="77777777" w:rsidR="00E203C2" w:rsidRPr="007C174F" w:rsidRDefault="00E203C2" w:rsidP="00E203C2">
      <w:pPr>
        <w:rPr>
          <w:sz w:val="20"/>
          <w:szCs w:val="20"/>
          <w:lang w:val="en-AU"/>
        </w:rPr>
      </w:pPr>
    </w:p>
    <w:p w14:paraId="68DB3A5C"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D5AC393"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5E0DA44F"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4C655698"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A30EEE0" w14:textId="3410D9FD"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248E32B" w14:textId="77777777" w:rsidR="00413CA8" w:rsidRDefault="00413CA8" w:rsidP="00E203C2">
      <w:pPr>
        <w:spacing w:line="280" w:lineRule="exact"/>
        <w:jc w:val="center"/>
        <w:rPr>
          <w:rFonts w:cs="Arial"/>
          <w:bCs/>
          <w:sz w:val="28"/>
          <w:szCs w:val="28"/>
        </w:rPr>
        <w:sectPr w:rsidR="00413CA8" w:rsidSect="00E8233D">
          <w:footerReference w:type="even" r:id="rId20"/>
          <w:footerReference w:type="default" r:id="rId21"/>
          <w:headerReference w:type="first" r:id="rId22"/>
          <w:pgSz w:w="11906" w:h="16838"/>
          <w:pgMar w:top="1418" w:right="1418" w:bottom="1418" w:left="1418" w:header="709" w:footer="709" w:gutter="0"/>
          <w:pgNumType w:fmt="lowerRoman" w:start="1"/>
          <w:cols w:space="708"/>
          <w:docGrid w:linePitch="360"/>
        </w:sectPr>
      </w:pPr>
    </w:p>
    <w:p w14:paraId="413F894A"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bookmarkStart w:id="0" w:name="_GoBack"/>
    <w:bookmarkEnd w:id="0"/>
    <w:p w14:paraId="3D60B442" w14:textId="77777777" w:rsidR="0021334F" w:rsidRDefault="00051ED9">
      <w:pPr>
        <w:pStyle w:val="TOC1"/>
        <w:tabs>
          <w:tab w:val="right" w:leader="dot" w:pos="9060"/>
        </w:tabs>
        <w:rPr>
          <w:rFonts w:eastAsiaTheme="minorEastAsia" w:cstheme="minorBidi"/>
          <w:b w:val="0"/>
          <w:bCs w:val="0"/>
          <w:caps w:val="0"/>
          <w:noProof/>
          <w:sz w:val="22"/>
          <w:szCs w:val="22"/>
          <w:lang w:eastAsia="en-GB"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31997669" w:history="1">
        <w:r w:rsidR="0021334F" w:rsidRPr="0086362C">
          <w:rPr>
            <w:rStyle w:val="Hyperlink"/>
            <w:noProof/>
          </w:rPr>
          <w:t>Executive summary</w:t>
        </w:r>
        <w:r w:rsidR="0021334F">
          <w:rPr>
            <w:noProof/>
            <w:webHidden/>
          </w:rPr>
          <w:tab/>
        </w:r>
        <w:r w:rsidR="0021334F">
          <w:rPr>
            <w:noProof/>
            <w:webHidden/>
          </w:rPr>
          <w:fldChar w:fldCharType="begin"/>
        </w:r>
        <w:r w:rsidR="0021334F">
          <w:rPr>
            <w:noProof/>
            <w:webHidden/>
          </w:rPr>
          <w:instrText xml:space="preserve"> PAGEREF _Toc431997669 \h </w:instrText>
        </w:r>
        <w:r w:rsidR="0021334F">
          <w:rPr>
            <w:noProof/>
            <w:webHidden/>
          </w:rPr>
        </w:r>
        <w:r w:rsidR="0021334F">
          <w:rPr>
            <w:noProof/>
            <w:webHidden/>
          </w:rPr>
          <w:fldChar w:fldCharType="separate"/>
        </w:r>
        <w:r w:rsidR="0021334F">
          <w:rPr>
            <w:noProof/>
            <w:webHidden/>
          </w:rPr>
          <w:t>2</w:t>
        </w:r>
        <w:r w:rsidR="0021334F">
          <w:rPr>
            <w:noProof/>
            <w:webHidden/>
          </w:rPr>
          <w:fldChar w:fldCharType="end"/>
        </w:r>
      </w:hyperlink>
    </w:p>
    <w:p w14:paraId="41F009FD" w14:textId="77777777" w:rsidR="0021334F" w:rsidRDefault="002133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997670" w:history="1">
        <w:r w:rsidRPr="0086362C">
          <w:rPr>
            <w:rStyle w:val="Hyperlink"/>
            <w:noProof/>
          </w:rPr>
          <w:t>1</w:t>
        </w:r>
        <w:r>
          <w:rPr>
            <w:rFonts w:eastAsiaTheme="minorEastAsia" w:cstheme="minorBidi"/>
            <w:b w:val="0"/>
            <w:bCs w:val="0"/>
            <w:caps w:val="0"/>
            <w:noProof/>
            <w:sz w:val="22"/>
            <w:szCs w:val="22"/>
            <w:lang w:eastAsia="en-GB" w:bidi="ar-SA"/>
          </w:rPr>
          <w:tab/>
        </w:r>
        <w:r w:rsidRPr="0086362C">
          <w:rPr>
            <w:rStyle w:val="Hyperlink"/>
            <w:noProof/>
          </w:rPr>
          <w:t>Introduction</w:t>
        </w:r>
        <w:r>
          <w:rPr>
            <w:noProof/>
            <w:webHidden/>
          </w:rPr>
          <w:tab/>
        </w:r>
        <w:r>
          <w:rPr>
            <w:noProof/>
            <w:webHidden/>
          </w:rPr>
          <w:fldChar w:fldCharType="begin"/>
        </w:r>
        <w:r>
          <w:rPr>
            <w:noProof/>
            <w:webHidden/>
          </w:rPr>
          <w:instrText xml:space="preserve"> PAGEREF _Toc431997670 \h </w:instrText>
        </w:r>
        <w:r>
          <w:rPr>
            <w:noProof/>
            <w:webHidden/>
          </w:rPr>
        </w:r>
        <w:r>
          <w:rPr>
            <w:noProof/>
            <w:webHidden/>
          </w:rPr>
          <w:fldChar w:fldCharType="separate"/>
        </w:r>
        <w:r>
          <w:rPr>
            <w:noProof/>
            <w:webHidden/>
          </w:rPr>
          <w:t>3</w:t>
        </w:r>
        <w:r>
          <w:rPr>
            <w:noProof/>
            <w:webHidden/>
          </w:rPr>
          <w:fldChar w:fldCharType="end"/>
        </w:r>
      </w:hyperlink>
    </w:p>
    <w:p w14:paraId="30BC09B9"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71" w:history="1">
        <w:r w:rsidRPr="0086362C">
          <w:rPr>
            <w:rStyle w:val="Hyperlink"/>
            <w:noProof/>
          </w:rPr>
          <w:t>1.1</w:t>
        </w:r>
        <w:r>
          <w:rPr>
            <w:rFonts w:eastAsiaTheme="minorEastAsia" w:cstheme="minorBidi"/>
            <w:smallCaps w:val="0"/>
            <w:noProof/>
            <w:sz w:val="22"/>
            <w:szCs w:val="22"/>
            <w:lang w:eastAsia="en-GB" w:bidi="ar-SA"/>
          </w:rPr>
          <w:tab/>
        </w:r>
        <w:r w:rsidRPr="0086362C">
          <w:rPr>
            <w:rStyle w:val="Hyperlink"/>
            <w:noProof/>
          </w:rPr>
          <w:t>The current Standard</w:t>
        </w:r>
        <w:r>
          <w:rPr>
            <w:noProof/>
            <w:webHidden/>
          </w:rPr>
          <w:tab/>
        </w:r>
        <w:r>
          <w:rPr>
            <w:noProof/>
            <w:webHidden/>
          </w:rPr>
          <w:fldChar w:fldCharType="begin"/>
        </w:r>
        <w:r>
          <w:rPr>
            <w:noProof/>
            <w:webHidden/>
          </w:rPr>
          <w:instrText xml:space="preserve"> PAGEREF _Toc431997671 \h </w:instrText>
        </w:r>
        <w:r>
          <w:rPr>
            <w:noProof/>
            <w:webHidden/>
          </w:rPr>
        </w:r>
        <w:r>
          <w:rPr>
            <w:noProof/>
            <w:webHidden/>
          </w:rPr>
          <w:fldChar w:fldCharType="separate"/>
        </w:r>
        <w:r>
          <w:rPr>
            <w:noProof/>
            <w:webHidden/>
          </w:rPr>
          <w:t>3</w:t>
        </w:r>
        <w:r>
          <w:rPr>
            <w:noProof/>
            <w:webHidden/>
          </w:rPr>
          <w:fldChar w:fldCharType="end"/>
        </w:r>
      </w:hyperlink>
    </w:p>
    <w:p w14:paraId="38CDDDBE"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72" w:history="1">
        <w:r w:rsidRPr="0086362C">
          <w:rPr>
            <w:rStyle w:val="Hyperlink"/>
            <w:noProof/>
            <w:u w:color="FFFF00"/>
          </w:rPr>
          <w:t>1.2</w:t>
        </w:r>
        <w:r>
          <w:rPr>
            <w:rFonts w:eastAsiaTheme="minorEastAsia" w:cstheme="minorBidi"/>
            <w:smallCaps w:val="0"/>
            <w:noProof/>
            <w:sz w:val="22"/>
            <w:szCs w:val="22"/>
            <w:lang w:eastAsia="en-GB" w:bidi="ar-SA"/>
          </w:rPr>
          <w:tab/>
        </w:r>
        <w:r w:rsidRPr="0086362C">
          <w:rPr>
            <w:rStyle w:val="Hyperlink"/>
            <w:noProof/>
            <w:u w:color="FFFF00"/>
          </w:rPr>
          <w:t xml:space="preserve">Reasons for </w:t>
        </w:r>
        <w:r w:rsidRPr="0086362C">
          <w:rPr>
            <w:rStyle w:val="Hyperlink"/>
            <w:noProof/>
          </w:rPr>
          <w:t>preparing the Proposal</w:t>
        </w:r>
        <w:r>
          <w:rPr>
            <w:noProof/>
            <w:webHidden/>
          </w:rPr>
          <w:tab/>
        </w:r>
        <w:r>
          <w:rPr>
            <w:noProof/>
            <w:webHidden/>
          </w:rPr>
          <w:fldChar w:fldCharType="begin"/>
        </w:r>
        <w:r>
          <w:rPr>
            <w:noProof/>
            <w:webHidden/>
          </w:rPr>
          <w:instrText xml:space="preserve"> PAGEREF _Toc431997672 \h </w:instrText>
        </w:r>
        <w:r>
          <w:rPr>
            <w:noProof/>
            <w:webHidden/>
          </w:rPr>
        </w:r>
        <w:r>
          <w:rPr>
            <w:noProof/>
            <w:webHidden/>
          </w:rPr>
          <w:fldChar w:fldCharType="separate"/>
        </w:r>
        <w:r>
          <w:rPr>
            <w:noProof/>
            <w:webHidden/>
          </w:rPr>
          <w:t>3</w:t>
        </w:r>
        <w:r>
          <w:rPr>
            <w:noProof/>
            <w:webHidden/>
          </w:rPr>
          <w:fldChar w:fldCharType="end"/>
        </w:r>
      </w:hyperlink>
    </w:p>
    <w:p w14:paraId="4CC08C34"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73" w:history="1">
        <w:r w:rsidRPr="0086362C">
          <w:rPr>
            <w:rStyle w:val="Hyperlink"/>
            <w:noProof/>
            <w:u w:color="FFFF00"/>
          </w:rPr>
          <w:t>1.3</w:t>
        </w:r>
        <w:r>
          <w:rPr>
            <w:rFonts w:eastAsiaTheme="minorEastAsia" w:cstheme="minorBidi"/>
            <w:smallCaps w:val="0"/>
            <w:noProof/>
            <w:sz w:val="22"/>
            <w:szCs w:val="22"/>
            <w:lang w:eastAsia="en-GB" w:bidi="ar-SA"/>
          </w:rPr>
          <w:tab/>
        </w:r>
        <w:r w:rsidRPr="0086362C">
          <w:rPr>
            <w:rStyle w:val="Hyperlink"/>
            <w:noProof/>
            <w:u w:color="FFFF00"/>
          </w:rPr>
          <w:t>Procedure for assessment</w:t>
        </w:r>
        <w:r>
          <w:rPr>
            <w:noProof/>
            <w:webHidden/>
          </w:rPr>
          <w:tab/>
        </w:r>
        <w:r>
          <w:rPr>
            <w:noProof/>
            <w:webHidden/>
          </w:rPr>
          <w:fldChar w:fldCharType="begin"/>
        </w:r>
        <w:r>
          <w:rPr>
            <w:noProof/>
            <w:webHidden/>
          </w:rPr>
          <w:instrText xml:space="preserve"> PAGEREF _Toc431997673 \h </w:instrText>
        </w:r>
        <w:r>
          <w:rPr>
            <w:noProof/>
            <w:webHidden/>
          </w:rPr>
        </w:r>
        <w:r>
          <w:rPr>
            <w:noProof/>
            <w:webHidden/>
          </w:rPr>
          <w:fldChar w:fldCharType="separate"/>
        </w:r>
        <w:r>
          <w:rPr>
            <w:noProof/>
            <w:webHidden/>
          </w:rPr>
          <w:t>3</w:t>
        </w:r>
        <w:r>
          <w:rPr>
            <w:noProof/>
            <w:webHidden/>
          </w:rPr>
          <w:fldChar w:fldCharType="end"/>
        </w:r>
      </w:hyperlink>
    </w:p>
    <w:p w14:paraId="11CF79FD" w14:textId="77777777" w:rsidR="0021334F" w:rsidRDefault="002133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997674" w:history="1">
        <w:r w:rsidRPr="0086362C">
          <w:rPr>
            <w:rStyle w:val="Hyperlink"/>
            <w:noProof/>
          </w:rPr>
          <w:t>2</w:t>
        </w:r>
        <w:r>
          <w:rPr>
            <w:rFonts w:eastAsiaTheme="minorEastAsia" w:cstheme="minorBidi"/>
            <w:b w:val="0"/>
            <w:bCs w:val="0"/>
            <w:caps w:val="0"/>
            <w:noProof/>
            <w:sz w:val="22"/>
            <w:szCs w:val="22"/>
            <w:lang w:eastAsia="en-GB" w:bidi="ar-SA"/>
          </w:rPr>
          <w:tab/>
        </w:r>
        <w:r w:rsidRPr="0086362C">
          <w:rPr>
            <w:rStyle w:val="Hyperlink"/>
            <w:noProof/>
          </w:rPr>
          <w:t>Summary of the assessment</w:t>
        </w:r>
        <w:r>
          <w:rPr>
            <w:noProof/>
            <w:webHidden/>
          </w:rPr>
          <w:tab/>
        </w:r>
        <w:r>
          <w:rPr>
            <w:noProof/>
            <w:webHidden/>
          </w:rPr>
          <w:fldChar w:fldCharType="begin"/>
        </w:r>
        <w:r>
          <w:rPr>
            <w:noProof/>
            <w:webHidden/>
          </w:rPr>
          <w:instrText xml:space="preserve"> PAGEREF _Toc431997674 \h </w:instrText>
        </w:r>
        <w:r>
          <w:rPr>
            <w:noProof/>
            <w:webHidden/>
          </w:rPr>
        </w:r>
        <w:r>
          <w:rPr>
            <w:noProof/>
            <w:webHidden/>
          </w:rPr>
          <w:fldChar w:fldCharType="separate"/>
        </w:r>
        <w:r>
          <w:rPr>
            <w:noProof/>
            <w:webHidden/>
          </w:rPr>
          <w:t>4</w:t>
        </w:r>
        <w:r>
          <w:rPr>
            <w:noProof/>
            <w:webHidden/>
          </w:rPr>
          <w:fldChar w:fldCharType="end"/>
        </w:r>
      </w:hyperlink>
    </w:p>
    <w:p w14:paraId="5F87A33E"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75" w:history="1">
        <w:r w:rsidRPr="0086362C">
          <w:rPr>
            <w:rStyle w:val="Hyperlink"/>
            <w:noProof/>
          </w:rPr>
          <w:t>2.1</w:t>
        </w:r>
        <w:r>
          <w:rPr>
            <w:rFonts w:eastAsiaTheme="minorEastAsia" w:cstheme="minorBidi"/>
            <w:smallCaps w:val="0"/>
            <w:noProof/>
            <w:sz w:val="22"/>
            <w:szCs w:val="22"/>
            <w:lang w:eastAsia="en-GB" w:bidi="ar-SA"/>
          </w:rPr>
          <w:tab/>
        </w:r>
        <w:r w:rsidRPr="0086362C">
          <w:rPr>
            <w:rStyle w:val="Hyperlink"/>
            <w:noProof/>
          </w:rPr>
          <w:t>Risk assessment</w:t>
        </w:r>
        <w:r>
          <w:rPr>
            <w:noProof/>
            <w:webHidden/>
          </w:rPr>
          <w:tab/>
        </w:r>
        <w:r>
          <w:rPr>
            <w:noProof/>
            <w:webHidden/>
          </w:rPr>
          <w:fldChar w:fldCharType="begin"/>
        </w:r>
        <w:r>
          <w:rPr>
            <w:noProof/>
            <w:webHidden/>
          </w:rPr>
          <w:instrText xml:space="preserve"> PAGEREF _Toc431997675 \h </w:instrText>
        </w:r>
        <w:r>
          <w:rPr>
            <w:noProof/>
            <w:webHidden/>
          </w:rPr>
        </w:r>
        <w:r>
          <w:rPr>
            <w:noProof/>
            <w:webHidden/>
          </w:rPr>
          <w:fldChar w:fldCharType="separate"/>
        </w:r>
        <w:r>
          <w:rPr>
            <w:noProof/>
            <w:webHidden/>
          </w:rPr>
          <w:t>4</w:t>
        </w:r>
        <w:r>
          <w:rPr>
            <w:noProof/>
            <w:webHidden/>
          </w:rPr>
          <w:fldChar w:fldCharType="end"/>
        </w:r>
      </w:hyperlink>
    </w:p>
    <w:p w14:paraId="718E7489"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76" w:history="1">
        <w:r w:rsidRPr="0086362C">
          <w:rPr>
            <w:rStyle w:val="Hyperlink"/>
            <w:noProof/>
          </w:rPr>
          <w:t>2.2</w:t>
        </w:r>
        <w:r>
          <w:rPr>
            <w:rFonts w:eastAsiaTheme="minorEastAsia" w:cstheme="minorBidi"/>
            <w:smallCaps w:val="0"/>
            <w:noProof/>
            <w:sz w:val="22"/>
            <w:szCs w:val="22"/>
            <w:lang w:eastAsia="en-GB" w:bidi="ar-SA"/>
          </w:rPr>
          <w:tab/>
        </w:r>
        <w:r w:rsidRPr="0086362C">
          <w:rPr>
            <w:rStyle w:val="Hyperlink"/>
            <w:noProof/>
          </w:rPr>
          <w:t>Risk management</w:t>
        </w:r>
        <w:r>
          <w:rPr>
            <w:noProof/>
            <w:webHidden/>
          </w:rPr>
          <w:tab/>
        </w:r>
        <w:r>
          <w:rPr>
            <w:noProof/>
            <w:webHidden/>
          </w:rPr>
          <w:fldChar w:fldCharType="begin"/>
        </w:r>
        <w:r>
          <w:rPr>
            <w:noProof/>
            <w:webHidden/>
          </w:rPr>
          <w:instrText xml:space="preserve"> PAGEREF _Toc431997676 \h </w:instrText>
        </w:r>
        <w:r>
          <w:rPr>
            <w:noProof/>
            <w:webHidden/>
          </w:rPr>
        </w:r>
        <w:r>
          <w:rPr>
            <w:noProof/>
            <w:webHidden/>
          </w:rPr>
          <w:fldChar w:fldCharType="separate"/>
        </w:r>
        <w:r>
          <w:rPr>
            <w:noProof/>
            <w:webHidden/>
          </w:rPr>
          <w:t>4</w:t>
        </w:r>
        <w:r>
          <w:rPr>
            <w:noProof/>
            <w:webHidden/>
          </w:rPr>
          <w:fldChar w:fldCharType="end"/>
        </w:r>
      </w:hyperlink>
    </w:p>
    <w:p w14:paraId="0119A502"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77" w:history="1">
        <w:r w:rsidRPr="0086362C">
          <w:rPr>
            <w:rStyle w:val="Hyperlink"/>
            <w:noProof/>
          </w:rPr>
          <w:t>2.2.1</w:t>
        </w:r>
        <w:r>
          <w:rPr>
            <w:rFonts w:eastAsiaTheme="minorEastAsia" w:cstheme="minorBidi"/>
            <w:i w:val="0"/>
            <w:iCs w:val="0"/>
            <w:noProof/>
            <w:sz w:val="22"/>
            <w:szCs w:val="22"/>
            <w:lang w:eastAsia="en-GB" w:bidi="ar-SA"/>
          </w:rPr>
          <w:tab/>
        </w:r>
        <w:r w:rsidRPr="0086362C">
          <w:rPr>
            <w:rStyle w:val="Hyperlink"/>
            <w:noProof/>
          </w:rPr>
          <w:t>Consultation paper</w:t>
        </w:r>
        <w:r>
          <w:rPr>
            <w:noProof/>
            <w:webHidden/>
          </w:rPr>
          <w:tab/>
        </w:r>
        <w:r>
          <w:rPr>
            <w:noProof/>
            <w:webHidden/>
          </w:rPr>
          <w:fldChar w:fldCharType="begin"/>
        </w:r>
        <w:r>
          <w:rPr>
            <w:noProof/>
            <w:webHidden/>
          </w:rPr>
          <w:instrText xml:space="preserve"> PAGEREF _Toc431997677 \h </w:instrText>
        </w:r>
        <w:r>
          <w:rPr>
            <w:noProof/>
            <w:webHidden/>
          </w:rPr>
        </w:r>
        <w:r>
          <w:rPr>
            <w:noProof/>
            <w:webHidden/>
          </w:rPr>
          <w:fldChar w:fldCharType="separate"/>
        </w:r>
        <w:r>
          <w:rPr>
            <w:noProof/>
            <w:webHidden/>
          </w:rPr>
          <w:t>4</w:t>
        </w:r>
        <w:r>
          <w:rPr>
            <w:noProof/>
            <w:webHidden/>
          </w:rPr>
          <w:fldChar w:fldCharType="end"/>
        </w:r>
      </w:hyperlink>
    </w:p>
    <w:p w14:paraId="4FDBED28"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78" w:history="1">
        <w:r w:rsidRPr="0086362C">
          <w:rPr>
            <w:rStyle w:val="Hyperlink"/>
            <w:noProof/>
          </w:rPr>
          <w:t>2.2.2</w:t>
        </w:r>
        <w:r>
          <w:rPr>
            <w:rFonts w:eastAsiaTheme="minorEastAsia" w:cstheme="minorBidi"/>
            <w:i w:val="0"/>
            <w:iCs w:val="0"/>
            <w:noProof/>
            <w:sz w:val="22"/>
            <w:szCs w:val="22"/>
            <w:lang w:eastAsia="en-GB" w:bidi="ar-SA"/>
          </w:rPr>
          <w:tab/>
        </w:r>
        <w:r w:rsidRPr="0086362C">
          <w:rPr>
            <w:rStyle w:val="Hyperlink"/>
            <w:noProof/>
          </w:rPr>
          <w:t>Microbiological criteria framework</w:t>
        </w:r>
        <w:r>
          <w:rPr>
            <w:noProof/>
            <w:webHidden/>
          </w:rPr>
          <w:tab/>
        </w:r>
        <w:r>
          <w:rPr>
            <w:noProof/>
            <w:webHidden/>
          </w:rPr>
          <w:fldChar w:fldCharType="begin"/>
        </w:r>
        <w:r>
          <w:rPr>
            <w:noProof/>
            <w:webHidden/>
          </w:rPr>
          <w:instrText xml:space="preserve"> PAGEREF _Toc431997678 \h </w:instrText>
        </w:r>
        <w:r>
          <w:rPr>
            <w:noProof/>
            <w:webHidden/>
          </w:rPr>
        </w:r>
        <w:r>
          <w:rPr>
            <w:noProof/>
            <w:webHidden/>
          </w:rPr>
          <w:fldChar w:fldCharType="separate"/>
        </w:r>
        <w:r>
          <w:rPr>
            <w:noProof/>
            <w:webHidden/>
          </w:rPr>
          <w:t>5</w:t>
        </w:r>
        <w:r>
          <w:rPr>
            <w:noProof/>
            <w:webHidden/>
          </w:rPr>
          <w:fldChar w:fldCharType="end"/>
        </w:r>
      </w:hyperlink>
    </w:p>
    <w:p w14:paraId="4325F08C" w14:textId="77777777" w:rsidR="0021334F" w:rsidRDefault="0021334F">
      <w:pPr>
        <w:pStyle w:val="TOC3"/>
        <w:tabs>
          <w:tab w:val="left" w:pos="1320"/>
          <w:tab w:val="right" w:leader="dot" w:pos="9060"/>
        </w:tabs>
        <w:rPr>
          <w:rFonts w:eastAsiaTheme="minorEastAsia" w:cstheme="minorBidi"/>
          <w:i w:val="0"/>
          <w:iCs w:val="0"/>
          <w:noProof/>
          <w:sz w:val="22"/>
          <w:szCs w:val="22"/>
          <w:lang w:eastAsia="en-GB" w:bidi="ar-SA"/>
        </w:rPr>
      </w:pPr>
      <w:hyperlink w:anchor="_Toc431997679" w:history="1">
        <w:r w:rsidRPr="0086362C">
          <w:rPr>
            <w:rStyle w:val="Hyperlink"/>
            <w:noProof/>
          </w:rPr>
          <w:t xml:space="preserve">2.2.3 </w:t>
        </w:r>
        <w:r>
          <w:rPr>
            <w:rFonts w:eastAsiaTheme="minorEastAsia" w:cstheme="minorBidi"/>
            <w:i w:val="0"/>
            <w:iCs w:val="0"/>
            <w:noProof/>
            <w:sz w:val="22"/>
            <w:szCs w:val="22"/>
            <w:lang w:eastAsia="en-GB" w:bidi="ar-SA"/>
          </w:rPr>
          <w:tab/>
        </w:r>
        <w:r w:rsidRPr="0086362C">
          <w:rPr>
            <w:rStyle w:val="Hyperlink"/>
            <w:noProof/>
          </w:rPr>
          <w:t>Powdered infant formula</w:t>
        </w:r>
        <w:r>
          <w:rPr>
            <w:noProof/>
            <w:webHidden/>
          </w:rPr>
          <w:tab/>
        </w:r>
        <w:r>
          <w:rPr>
            <w:noProof/>
            <w:webHidden/>
          </w:rPr>
          <w:fldChar w:fldCharType="begin"/>
        </w:r>
        <w:r>
          <w:rPr>
            <w:noProof/>
            <w:webHidden/>
          </w:rPr>
          <w:instrText xml:space="preserve"> PAGEREF _Toc431997679 \h </w:instrText>
        </w:r>
        <w:r>
          <w:rPr>
            <w:noProof/>
            <w:webHidden/>
          </w:rPr>
        </w:r>
        <w:r>
          <w:rPr>
            <w:noProof/>
            <w:webHidden/>
          </w:rPr>
          <w:fldChar w:fldCharType="separate"/>
        </w:r>
        <w:r>
          <w:rPr>
            <w:noProof/>
            <w:webHidden/>
          </w:rPr>
          <w:t>7</w:t>
        </w:r>
        <w:r>
          <w:rPr>
            <w:noProof/>
            <w:webHidden/>
          </w:rPr>
          <w:fldChar w:fldCharType="end"/>
        </w:r>
      </w:hyperlink>
    </w:p>
    <w:p w14:paraId="218A0813" w14:textId="77777777" w:rsidR="0021334F" w:rsidRDefault="0021334F">
      <w:pPr>
        <w:pStyle w:val="TOC3"/>
        <w:tabs>
          <w:tab w:val="left" w:pos="1320"/>
          <w:tab w:val="right" w:leader="dot" w:pos="9060"/>
        </w:tabs>
        <w:rPr>
          <w:rFonts w:eastAsiaTheme="minorEastAsia" w:cstheme="minorBidi"/>
          <w:i w:val="0"/>
          <w:iCs w:val="0"/>
          <w:noProof/>
          <w:sz w:val="22"/>
          <w:szCs w:val="22"/>
          <w:lang w:eastAsia="en-GB" w:bidi="ar-SA"/>
        </w:rPr>
      </w:pPr>
      <w:hyperlink w:anchor="_Toc431997680" w:history="1">
        <w:r w:rsidRPr="0086362C">
          <w:rPr>
            <w:rStyle w:val="Hyperlink"/>
            <w:noProof/>
          </w:rPr>
          <w:t xml:space="preserve">2.2.4 </w:t>
        </w:r>
        <w:r>
          <w:rPr>
            <w:rFonts w:eastAsiaTheme="minorEastAsia" w:cstheme="minorBidi"/>
            <w:i w:val="0"/>
            <w:iCs w:val="0"/>
            <w:noProof/>
            <w:sz w:val="22"/>
            <w:szCs w:val="22"/>
            <w:lang w:eastAsia="en-GB" w:bidi="ar-SA"/>
          </w:rPr>
          <w:tab/>
        </w:r>
        <w:r w:rsidRPr="0086362C">
          <w:rPr>
            <w:rStyle w:val="Hyperlink"/>
            <w:noProof/>
          </w:rPr>
          <w:t>Proposed microbiological criteria</w:t>
        </w:r>
        <w:r>
          <w:rPr>
            <w:noProof/>
            <w:webHidden/>
          </w:rPr>
          <w:tab/>
        </w:r>
        <w:r>
          <w:rPr>
            <w:noProof/>
            <w:webHidden/>
          </w:rPr>
          <w:fldChar w:fldCharType="begin"/>
        </w:r>
        <w:r>
          <w:rPr>
            <w:noProof/>
            <w:webHidden/>
          </w:rPr>
          <w:instrText xml:space="preserve"> PAGEREF _Toc431997680 \h </w:instrText>
        </w:r>
        <w:r>
          <w:rPr>
            <w:noProof/>
            <w:webHidden/>
          </w:rPr>
        </w:r>
        <w:r>
          <w:rPr>
            <w:noProof/>
            <w:webHidden/>
          </w:rPr>
          <w:fldChar w:fldCharType="separate"/>
        </w:r>
        <w:r>
          <w:rPr>
            <w:noProof/>
            <w:webHidden/>
          </w:rPr>
          <w:t>8</w:t>
        </w:r>
        <w:r>
          <w:rPr>
            <w:noProof/>
            <w:webHidden/>
          </w:rPr>
          <w:fldChar w:fldCharType="end"/>
        </w:r>
      </w:hyperlink>
    </w:p>
    <w:p w14:paraId="476472E1"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81" w:history="1">
        <w:r w:rsidRPr="0086362C">
          <w:rPr>
            <w:rStyle w:val="Hyperlink"/>
            <w:noProof/>
          </w:rPr>
          <w:t>2.3</w:t>
        </w:r>
        <w:r>
          <w:rPr>
            <w:rFonts w:eastAsiaTheme="minorEastAsia" w:cstheme="minorBidi"/>
            <w:smallCaps w:val="0"/>
            <w:noProof/>
            <w:sz w:val="22"/>
            <w:szCs w:val="22"/>
            <w:lang w:eastAsia="en-GB" w:bidi="ar-SA"/>
          </w:rPr>
          <w:tab/>
        </w:r>
        <w:r w:rsidRPr="0086362C">
          <w:rPr>
            <w:rStyle w:val="Hyperlink"/>
            <w:noProof/>
          </w:rPr>
          <w:t>Risk communication</w:t>
        </w:r>
        <w:r>
          <w:rPr>
            <w:noProof/>
            <w:webHidden/>
          </w:rPr>
          <w:tab/>
        </w:r>
        <w:r>
          <w:rPr>
            <w:noProof/>
            <w:webHidden/>
          </w:rPr>
          <w:fldChar w:fldCharType="begin"/>
        </w:r>
        <w:r>
          <w:rPr>
            <w:noProof/>
            <w:webHidden/>
          </w:rPr>
          <w:instrText xml:space="preserve"> PAGEREF _Toc431997681 \h </w:instrText>
        </w:r>
        <w:r>
          <w:rPr>
            <w:noProof/>
            <w:webHidden/>
          </w:rPr>
        </w:r>
        <w:r>
          <w:rPr>
            <w:noProof/>
            <w:webHidden/>
          </w:rPr>
          <w:fldChar w:fldCharType="separate"/>
        </w:r>
        <w:r>
          <w:rPr>
            <w:noProof/>
            <w:webHidden/>
          </w:rPr>
          <w:t>10</w:t>
        </w:r>
        <w:r>
          <w:rPr>
            <w:noProof/>
            <w:webHidden/>
          </w:rPr>
          <w:fldChar w:fldCharType="end"/>
        </w:r>
      </w:hyperlink>
    </w:p>
    <w:p w14:paraId="7398017E"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82" w:history="1">
        <w:r w:rsidRPr="0086362C">
          <w:rPr>
            <w:rStyle w:val="Hyperlink"/>
            <w:noProof/>
          </w:rPr>
          <w:t>2.3.1</w:t>
        </w:r>
        <w:r>
          <w:rPr>
            <w:rFonts w:eastAsiaTheme="minorEastAsia" w:cstheme="minorBidi"/>
            <w:i w:val="0"/>
            <w:iCs w:val="0"/>
            <w:noProof/>
            <w:sz w:val="22"/>
            <w:szCs w:val="22"/>
            <w:lang w:eastAsia="en-GB" w:bidi="ar-SA"/>
          </w:rPr>
          <w:tab/>
        </w:r>
        <w:r w:rsidRPr="0086362C">
          <w:rPr>
            <w:rStyle w:val="Hyperlink"/>
            <w:noProof/>
          </w:rPr>
          <w:t>Consultation</w:t>
        </w:r>
        <w:r>
          <w:rPr>
            <w:noProof/>
            <w:webHidden/>
          </w:rPr>
          <w:tab/>
        </w:r>
        <w:r>
          <w:rPr>
            <w:noProof/>
            <w:webHidden/>
          </w:rPr>
          <w:fldChar w:fldCharType="begin"/>
        </w:r>
        <w:r>
          <w:rPr>
            <w:noProof/>
            <w:webHidden/>
          </w:rPr>
          <w:instrText xml:space="preserve"> PAGEREF _Toc431997682 \h </w:instrText>
        </w:r>
        <w:r>
          <w:rPr>
            <w:noProof/>
            <w:webHidden/>
          </w:rPr>
        </w:r>
        <w:r>
          <w:rPr>
            <w:noProof/>
            <w:webHidden/>
          </w:rPr>
          <w:fldChar w:fldCharType="separate"/>
        </w:r>
        <w:r>
          <w:rPr>
            <w:noProof/>
            <w:webHidden/>
          </w:rPr>
          <w:t>10</w:t>
        </w:r>
        <w:r>
          <w:rPr>
            <w:noProof/>
            <w:webHidden/>
          </w:rPr>
          <w:fldChar w:fldCharType="end"/>
        </w:r>
      </w:hyperlink>
    </w:p>
    <w:p w14:paraId="297E4439"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83" w:history="1">
        <w:r w:rsidRPr="0086362C">
          <w:rPr>
            <w:rStyle w:val="Hyperlink"/>
            <w:noProof/>
          </w:rPr>
          <w:t>2.3.2</w:t>
        </w:r>
        <w:r>
          <w:rPr>
            <w:rFonts w:eastAsiaTheme="minorEastAsia" w:cstheme="minorBidi"/>
            <w:i w:val="0"/>
            <w:iCs w:val="0"/>
            <w:noProof/>
            <w:sz w:val="22"/>
            <w:szCs w:val="22"/>
            <w:lang w:eastAsia="en-GB" w:bidi="ar-SA"/>
          </w:rPr>
          <w:tab/>
        </w:r>
        <w:r w:rsidRPr="0086362C">
          <w:rPr>
            <w:rStyle w:val="Hyperlink"/>
            <w:noProof/>
          </w:rPr>
          <w:t>World Trade Organization (WTO)</w:t>
        </w:r>
        <w:r>
          <w:rPr>
            <w:noProof/>
            <w:webHidden/>
          </w:rPr>
          <w:tab/>
        </w:r>
        <w:r>
          <w:rPr>
            <w:noProof/>
            <w:webHidden/>
          </w:rPr>
          <w:fldChar w:fldCharType="begin"/>
        </w:r>
        <w:r>
          <w:rPr>
            <w:noProof/>
            <w:webHidden/>
          </w:rPr>
          <w:instrText xml:space="preserve"> PAGEREF _Toc431997683 \h </w:instrText>
        </w:r>
        <w:r>
          <w:rPr>
            <w:noProof/>
            <w:webHidden/>
          </w:rPr>
        </w:r>
        <w:r>
          <w:rPr>
            <w:noProof/>
            <w:webHidden/>
          </w:rPr>
          <w:fldChar w:fldCharType="separate"/>
        </w:r>
        <w:r>
          <w:rPr>
            <w:noProof/>
            <w:webHidden/>
          </w:rPr>
          <w:t>10</w:t>
        </w:r>
        <w:r>
          <w:rPr>
            <w:noProof/>
            <w:webHidden/>
          </w:rPr>
          <w:fldChar w:fldCharType="end"/>
        </w:r>
      </w:hyperlink>
    </w:p>
    <w:p w14:paraId="6C0C0583" w14:textId="77777777" w:rsidR="0021334F" w:rsidRDefault="0021334F">
      <w:pPr>
        <w:pStyle w:val="TOC2"/>
        <w:tabs>
          <w:tab w:val="left" w:pos="880"/>
          <w:tab w:val="right" w:leader="dot" w:pos="9060"/>
        </w:tabs>
        <w:rPr>
          <w:rFonts w:eastAsiaTheme="minorEastAsia" w:cstheme="minorBidi"/>
          <w:smallCaps w:val="0"/>
          <w:noProof/>
          <w:sz w:val="22"/>
          <w:szCs w:val="22"/>
          <w:lang w:eastAsia="en-GB" w:bidi="ar-SA"/>
        </w:rPr>
      </w:pPr>
      <w:hyperlink w:anchor="_Toc431997684" w:history="1">
        <w:r w:rsidRPr="0086362C">
          <w:rPr>
            <w:rStyle w:val="Hyperlink"/>
            <w:noProof/>
          </w:rPr>
          <w:t>2.4</w:t>
        </w:r>
        <w:r>
          <w:rPr>
            <w:rFonts w:eastAsiaTheme="minorEastAsia" w:cstheme="minorBidi"/>
            <w:smallCaps w:val="0"/>
            <w:noProof/>
            <w:sz w:val="22"/>
            <w:szCs w:val="22"/>
            <w:lang w:eastAsia="en-GB" w:bidi="ar-SA"/>
          </w:rPr>
          <w:tab/>
        </w:r>
        <w:r w:rsidRPr="0086362C">
          <w:rPr>
            <w:rStyle w:val="Hyperlink"/>
            <w:noProof/>
          </w:rPr>
          <w:t>FSANZ Act assessment requirements</w:t>
        </w:r>
        <w:r>
          <w:rPr>
            <w:noProof/>
            <w:webHidden/>
          </w:rPr>
          <w:tab/>
        </w:r>
        <w:r>
          <w:rPr>
            <w:noProof/>
            <w:webHidden/>
          </w:rPr>
          <w:fldChar w:fldCharType="begin"/>
        </w:r>
        <w:r>
          <w:rPr>
            <w:noProof/>
            <w:webHidden/>
          </w:rPr>
          <w:instrText xml:space="preserve"> PAGEREF _Toc431997684 \h </w:instrText>
        </w:r>
        <w:r>
          <w:rPr>
            <w:noProof/>
            <w:webHidden/>
          </w:rPr>
        </w:r>
        <w:r>
          <w:rPr>
            <w:noProof/>
            <w:webHidden/>
          </w:rPr>
          <w:fldChar w:fldCharType="separate"/>
        </w:r>
        <w:r>
          <w:rPr>
            <w:noProof/>
            <w:webHidden/>
          </w:rPr>
          <w:t>11</w:t>
        </w:r>
        <w:r>
          <w:rPr>
            <w:noProof/>
            <w:webHidden/>
          </w:rPr>
          <w:fldChar w:fldCharType="end"/>
        </w:r>
      </w:hyperlink>
    </w:p>
    <w:p w14:paraId="243C6562"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85" w:history="1">
        <w:r w:rsidRPr="0086362C">
          <w:rPr>
            <w:rStyle w:val="Hyperlink"/>
            <w:noProof/>
          </w:rPr>
          <w:t>2.4.1</w:t>
        </w:r>
        <w:r>
          <w:rPr>
            <w:rFonts w:eastAsiaTheme="minorEastAsia" w:cstheme="minorBidi"/>
            <w:i w:val="0"/>
            <w:iCs w:val="0"/>
            <w:noProof/>
            <w:sz w:val="22"/>
            <w:szCs w:val="22"/>
            <w:lang w:eastAsia="en-GB" w:bidi="ar-SA"/>
          </w:rPr>
          <w:tab/>
        </w:r>
        <w:r w:rsidRPr="0086362C">
          <w:rPr>
            <w:rStyle w:val="Hyperlink"/>
            <w:noProof/>
          </w:rPr>
          <w:t>Section 59</w:t>
        </w:r>
        <w:r>
          <w:rPr>
            <w:noProof/>
            <w:webHidden/>
          </w:rPr>
          <w:tab/>
        </w:r>
        <w:r>
          <w:rPr>
            <w:noProof/>
            <w:webHidden/>
          </w:rPr>
          <w:fldChar w:fldCharType="begin"/>
        </w:r>
        <w:r>
          <w:rPr>
            <w:noProof/>
            <w:webHidden/>
          </w:rPr>
          <w:instrText xml:space="preserve"> PAGEREF _Toc431997685 \h </w:instrText>
        </w:r>
        <w:r>
          <w:rPr>
            <w:noProof/>
            <w:webHidden/>
          </w:rPr>
        </w:r>
        <w:r>
          <w:rPr>
            <w:noProof/>
            <w:webHidden/>
          </w:rPr>
          <w:fldChar w:fldCharType="separate"/>
        </w:r>
        <w:r>
          <w:rPr>
            <w:noProof/>
            <w:webHidden/>
          </w:rPr>
          <w:t>11</w:t>
        </w:r>
        <w:r>
          <w:rPr>
            <w:noProof/>
            <w:webHidden/>
          </w:rPr>
          <w:fldChar w:fldCharType="end"/>
        </w:r>
      </w:hyperlink>
    </w:p>
    <w:p w14:paraId="3C0A1E91"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86" w:history="1">
        <w:r w:rsidRPr="0086362C">
          <w:rPr>
            <w:rStyle w:val="Hyperlink"/>
            <w:noProof/>
          </w:rPr>
          <w:t>2.4.2</w:t>
        </w:r>
        <w:r>
          <w:rPr>
            <w:rFonts w:eastAsiaTheme="minorEastAsia" w:cstheme="minorBidi"/>
            <w:i w:val="0"/>
            <w:iCs w:val="0"/>
            <w:noProof/>
            <w:sz w:val="22"/>
            <w:szCs w:val="22"/>
            <w:lang w:eastAsia="en-GB" w:bidi="ar-SA"/>
          </w:rPr>
          <w:tab/>
        </w:r>
        <w:r w:rsidRPr="0086362C">
          <w:rPr>
            <w:rStyle w:val="Hyperlink"/>
            <w:noProof/>
          </w:rPr>
          <w:t>Subsection 18(1)</w:t>
        </w:r>
        <w:r>
          <w:rPr>
            <w:noProof/>
            <w:webHidden/>
          </w:rPr>
          <w:tab/>
        </w:r>
        <w:r>
          <w:rPr>
            <w:noProof/>
            <w:webHidden/>
          </w:rPr>
          <w:fldChar w:fldCharType="begin"/>
        </w:r>
        <w:r>
          <w:rPr>
            <w:noProof/>
            <w:webHidden/>
          </w:rPr>
          <w:instrText xml:space="preserve"> PAGEREF _Toc431997686 \h </w:instrText>
        </w:r>
        <w:r>
          <w:rPr>
            <w:noProof/>
            <w:webHidden/>
          </w:rPr>
        </w:r>
        <w:r>
          <w:rPr>
            <w:noProof/>
            <w:webHidden/>
          </w:rPr>
          <w:fldChar w:fldCharType="separate"/>
        </w:r>
        <w:r>
          <w:rPr>
            <w:noProof/>
            <w:webHidden/>
          </w:rPr>
          <w:t>11</w:t>
        </w:r>
        <w:r>
          <w:rPr>
            <w:noProof/>
            <w:webHidden/>
          </w:rPr>
          <w:fldChar w:fldCharType="end"/>
        </w:r>
      </w:hyperlink>
    </w:p>
    <w:p w14:paraId="6B4382D4" w14:textId="77777777" w:rsidR="0021334F" w:rsidRDefault="0021334F">
      <w:pPr>
        <w:pStyle w:val="TOC3"/>
        <w:tabs>
          <w:tab w:val="left" w:pos="1100"/>
          <w:tab w:val="right" w:leader="dot" w:pos="9060"/>
        </w:tabs>
        <w:rPr>
          <w:rFonts w:eastAsiaTheme="minorEastAsia" w:cstheme="minorBidi"/>
          <w:i w:val="0"/>
          <w:iCs w:val="0"/>
          <w:noProof/>
          <w:sz w:val="22"/>
          <w:szCs w:val="22"/>
          <w:lang w:eastAsia="en-GB" w:bidi="ar-SA"/>
        </w:rPr>
      </w:pPr>
      <w:hyperlink w:anchor="_Toc431997687" w:history="1">
        <w:r w:rsidRPr="0086362C">
          <w:rPr>
            <w:rStyle w:val="Hyperlink"/>
            <w:noProof/>
          </w:rPr>
          <w:t>2.4.3</w:t>
        </w:r>
        <w:r>
          <w:rPr>
            <w:rFonts w:eastAsiaTheme="minorEastAsia" w:cstheme="minorBidi"/>
            <w:i w:val="0"/>
            <w:iCs w:val="0"/>
            <w:noProof/>
            <w:sz w:val="22"/>
            <w:szCs w:val="22"/>
            <w:lang w:eastAsia="en-GB" w:bidi="ar-SA"/>
          </w:rPr>
          <w:tab/>
        </w:r>
        <w:r w:rsidRPr="0086362C">
          <w:rPr>
            <w:rStyle w:val="Hyperlink"/>
            <w:noProof/>
          </w:rPr>
          <w:t>Subsection 18(2) considerations</w:t>
        </w:r>
        <w:r>
          <w:rPr>
            <w:noProof/>
            <w:webHidden/>
          </w:rPr>
          <w:tab/>
        </w:r>
        <w:r>
          <w:rPr>
            <w:noProof/>
            <w:webHidden/>
          </w:rPr>
          <w:fldChar w:fldCharType="begin"/>
        </w:r>
        <w:r>
          <w:rPr>
            <w:noProof/>
            <w:webHidden/>
          </w:rPr>
          <w:instrText xml:space="preserve"> PAGEREF _Toc431997687 \h </w:instrText>
        </w:r>
        <w:r>
          <w:rPr>
            <w:noProof/>
            <w:webHidden/>
          </w:rPr>
        </w:r>
        <w:r>
          <w:rPr>
            <w:noProof/>
            <w:webHidden/>
          </w:rPr>
          <w:fldChar w:fldCharType="separate"/>
        </w:r>
        <w:r>
          <w:rPr>
            <w:noProof/>
            <w:webHidden/>
          </w:rPr>
          <w:t>12</w:t>
        </w:r>
        <w:r>
          <w:rPr>
            <w:noProof/>
            <w:webHidden/>
          </w:rPr>
          <w:fldChar w:fldCharType="end"/>
        </w:r>
      </w:hyperlink>
    </w:p>
    <w:p w14:paraId="17FEFD46" w14:textId="77777777" w:rsidR="0021334F" w:rsidRDefault="002133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997688" w:history="1">
        <w:r w:rsidRPr="0086362C">
          <w:rPr>
            <w:rStyle w:val="Hyperlink"/>
            <w:noProof/>
          </w:rPr>
          <w:t>3</w:t>
        </w:r>
        <w:r>
          <w:rPr>
            <w:rFonts w:eastAsiaTheme="minorEastAsia" w:cstheme="minorBidi"/>
            <w:b w:val="0"/>
            <w:bCs w:val="0"/>
            <w:caps w:val="0"/>
            <w:noProof/>
            <w:sz w:val="22"/>
            <w:szCs w:val="22"/>
            <w:lang w:eastAsia="en-GB" w:bidi="ar-SA"/>
          </w:rPr>
          <w:tab/>
        </w:r>
        <w:r w:rsidRPr="0086362C">
          <w:rPr>
            <w:rStyle w:val="Hyperlink"/>
            <w:noProof/>
          </w:rPr>
          <w:t>Draft variation</w:t>
        </w:r>
        <w:r>
          <w:rPr>
            <w:noProof/>
            <w:webHidden/>
          </w:rPr>
          <w:tab/>
        </w:r>
        <w:r>
          <w:rPr>
            <w:noProof/>
            <w:webHidden/>
          </w:rPr>
          <w:fldChar w:fldCharType="begin"/>
        </w:r>
        <w:r>
          <w:rPr>
            <w:noProof/>
            <w:webHidden/>
          </w:rPr>
          <w:instrText xml:space="preserve"> PAGEREF _Toc431997688 \h </w:instrText>
        </w:r>
        <w:r>
          <w:rPr>
            <w:noProof/>
            <w:webHidden/>
          </w:rPr>
        </w:r>
        <w:r>
          <w:rPr>
            <w:noProof/>
            <w:webHidden/>
          </w:rPr>
          <w:fldChar w:fldCharType="separate"/>
        </w:r>
        <w:r>
          <w:rPr>
            <w:noProof/>
            <w:webHidden/>
          </w:rPr>
          <w:t>13</w:t>
        </w:r>
        <w:r>
          <w:rPr>
            <w:noProof/>
            <w:webHidden/>
          </w:rPr>
          <w:fldChar w:fldCharType="end"/>
        </w:r>
      </w:hyperlink>
    </w:p>
    <w:p w14:paraId="2C471C74" w14:textId="77777777" w:rsidR="0021334F" w:rsidRDefault="002133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997689" w:history="1">
        <w:r w:rsidRPr="0086362C">
          <w:rPr>
            <w:rStyle w:val="Hyperlink"/>
            <w:noProof/>
          </w:rPr>
          <w:t>4</w:t>
        </w:r>
        <w:r>
          <w:rPr>
            <w:rFonts w:eastAsiaTheme="minorEastAsia" w:cstheme="minorBidi"/>
            <w:b w:val="0"/>
            <w:bCs w:val="0"/>
            <w:caps w:val="0"/>
            <w:noProof/>
            <w:sz w:val="22"/>
            <w:szCs w:val="22"/>
            <w:lang w:eastAsia="en-GB" w:bidi="ar-SA"/>
          </w:rPr>
          <w:tab/>
        </w:r>
        <w:r w:rsidRPr="0086362C">
          <w:rPr>
            <w:rStyle w:val="Hyperlink"/>
            <w:noProof/>
          </w:rPr>
          <w:t>References</w:t>
        </w:r>
        <w:r>
          <w:rPr>
            <w:noProof/>
            <w:webHidden/>
          </w:rPr>
          <w:tab/>
        </w:r>
        <w:r>
          <w:rPr>
            <w:noProof/>
            <w:webHidden/>
          </w:rPr>
          <w:fldChar w:fldCharType="begin"/>
        </w:r>
        <w:r>
          <w:rPr>
            <w:noProof/>
            <w:webHidden/>
          </w:rPr>
          <w:instrText xml:space="preserve"> PAGEREF _Toc431997689 \h </w:instrText>
        </w:r>
        <w:r>
          <w:rPr>
            <w:noProof/>
            <w:webHidden/>
          </w:rPr>
        </w:r>
        <w:r>
          <w:rPr>
            <w:noProof/>
            <w:webHidden/>
          </w:rPr>
          <w:fldChar w:fldCharType="separate"/>
        </w:r>
        <w:r>
          <w:rPr>
            <w:noProof/>
            <w:webHidden/>
          </w:rPr>
          <w:t>13</w:t>
        </w:r>
        <w:r>
          <w:rPr>
            <w:noProof/>
            <w:webHidden/>
          </w:rPr>
          <w:fldChar w:fldCharType="end"/>
        </w:r>
      </w:hyperlink>
    </w:p>
    <w:p w14:paraId="3F1B668E" w14:textId="77777777" w:rsidR="0021334F" w:rsidRDefault="0021334F">
      <w:pPr>
        <w:pStyle w:val="TOC2"/>
        <w:tabs>
          <w:tab w:val="right" w:leader="dot" w:pos="9060"/>
        </w:tabs>
        <w:rPr>
          <w:rFonts w:eastAsiaTheme="minorEastAsia" w:cstheme="minorBidi"/>
          <w:smallCaps w:val="0"/>
          <w:noProof/>
          <w:sz w:val="22"/>
          <w:szCs w:val="22"/>
          <w:lang w:eastAsia="en-GB" w:bidi="ar-SA"/>
        </w:rPr>
      </w:pPr>
      <w:hyperlink w:anchor="_Toc431997690" w:history="1">
        <w:r w:rsidRPr="0086362C">
          <w:rPr>
            <w:rStyle w:val="Hyperlink"/>
            <w:noProof/>
          </w:rPr>
          <w:t xml:space="preserve">Attachment A – Draft variation to the </w:t>
        </w:r>
        <w:r w:rsidRPr="0086362C">
          <w:rPr>
            <w:rStyle w:val="Hyperlink"/>
            <w:i/>
            <w:noProof/>
          </w:rPr>
          <w:t>Australia New Zealand Food Standards Code</w:t>
        </w:r>
        <w:r>
          <w:rPr>
            <w:noProof/>
            <w:webHidden/>
          </w:rPr>
          <w:tab/>
        </w:r>
        <w:r>
          <w:rPr>
            <w:noProof/>
            <w:webHidden/>
          </w:rPr>
          <w:fldChar w:fldCharType="begin"/>
        </w:r>
        <w:r>
          <w:rPr>
            <w:noProof/>
            <w:webHidden/>
          </w:rPr>
          <w:instrText xml:space="preserve"> PAGEREF _Toc431997690 \h </w:instrText>
        </w:r>
        <w:r>
          <w:rPr>
            <w:noProof/>
            <w:webHidden/>
          </w:rPr>
        </w:r>
        <w:r>
          <w:rPr>
            <w:noProof/>
            <w:webHidden/>
          </w:rPr>
          <w:fldChar w:fldCharType="separate"/>
        </w:r>
        <w:r>
          <w:rPr>
            <w:noProof/>
            <w:webHidden/>
          </w:rPr>
          <w:t>14</w:t>
        </w:r>
        <w:r>
          <w:rPr>
            <w:noProof/>
            <w:webHidden/>
          </w:rPr>
          <w:fldChar w:fldCharType="end"/>
        </w:r>
      </w:hyperlink>
    </w:p>
    <w:p w14:paraId="193A3C51" w14:textId="77777777" w:rsidR="0021334F" w:rsidRDefault="0021334F">
      <w:pPr>
        <w:pStyle w:val="TOC2"/>
        <w:tabs>
          <w:tab w:val="right" w:leader="dot" w:pos="9060"/>
        </w:tabs>
        <w:rPr>
          <w:rFonts w:eastAsiaTheme="minorEastAsia" w:cstheme="minorBidi"/>
          <w:smallCaps w:val="0"/>
          <w:noProof/>
          <w:sz w:val="22"/>
          <w:szCs w:val="22"/>
          <w:lang w:eastAsia="en-GB" w:bidi="ar-SA"/>
        </w:rPr>
      </w:pPr>
      <w:hyperlink w:anchor="_Toc431997691" w:history="1">
        <w:r w:rsidRPr="0086362C">
          <w:rPr>
            <w:rStyle w:val="Hyperlink"/>
            <w:noProof/>
          </w:rPr>
          <w:t>Attachment B – Draft Explanatory Statement</w:t>
        </w:r>
        <w:r>
          <w:rPr>
            <w:noProof/>
            <w:webHidden/>
          </w:rPr>
          <w:tab/>
        </w:r>
        <w:r>
          <w:rPr>
            <w:noProof/>
            <w:webHidden/>
          </w:rPr>
          <w:fldChar w:fldCharType="begin"/>
        </w:r>
        <w:r>
          <w:rPr>
            <w:noProof/>
            <w:webHidden/>
          </w:rPr>
          <w:instrText xml:space="preserve"> PAGEREF _Toc431997691 \h </w:instrText>
        </w:r>
        <w:r>
          <w:rPr>
            <w:noProof/>
            <w:webHidden/>
          </w:rPr>
        </w:r>
        <w:r>
          <w:rPr>
            <w:noProof/>
            <w:webHidden/>
          </w:rPr>
          <w:fldChar w:fldCharType="separate"/>
        </w:r>
        <w:r>
          <w:rPr>
            <w:noProof/>
            <w:webHidden/>
          </w:rPr>
          <w:t>17</w:t>
        </w:r>
        <w:r>
          <w:rPr>
            <w:noProof/>
            <w:webHidden/>
          </w:rPr>
          <w:fldChar w:fldCharType="end"/>
        </w:r>
      </w:hyperlink>
    </w:p>
    <w:p w14:paraId="073206BA" w14:textId="77777777" w:rsidR="00051ED9" w:rsidRPr="0059227F" w:rsidRDefault="00051ED9" w:rsidP="00051ED9">
      <w:pPr>
        <w:rPr>
          <w:rFonts w:cs="Arial"/>
        </w:rPr>
      </w:pPr>
      <w:r w:rsidRPr="0059227F">
        <w:rPr>
          <w:rFonts w:cs="Arial"/>
        </w:rPr>
        <w:fldChar w:fldCharType="end"/>
      </w:r>
    </w:p>
    <w:p w14:paraId="2538B582" w14:textId="77777777" w:rsidR="00D73931" w:rsidRPr="00E203C2" w:rsidRDefault="00D73931" w:rsidP="00051ED9"/>
    <w:p w14:paraId="0B980EF3" w14:textId="77777777" w:rsidR="0037520F" w:rsidRPr="008844E4" w:rsidRDefault="0037520F" w:rsidP="0037520F">
      <w:pPr>
        <w:rPr>
          <w:b/>
          <w:szCs w:val="22"/>
        </w:rPr>
      </w:pPr>
      <w:r w:rsidRPr="008844E4">
        <w:rPr>
          <w:b/>
          <w:szCs w:val="22"/>
        </w:rPr>
        <w:t>Supporting documents</w:t>
      </w:r>
    </w:p>
    <w:p w14:paraId="63824822" w14:textId="77777777" w:rsidR="0037520F" w:rsidRPr="0089264A" w:rsidRDefault="0037520F" w:rsidP="0037520F">
      <w:pPr>
        <w:rPr>
          <w:szCs w:val="22"/>
        </w:rPr>
      </w:pPr>
    </w:p>
    <w:p w14:paraId="1816219C" w14:textId="218A9845" w:rsidR="0037520F" w:rsidRPr="0089264A" w:rsidRDefault="0037520F" w:rsidP="0037520F">
      <w:pPr>
        <w:rPr>
          <w:color w:val="FF0000"/>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w:t>
      </w:r>
      <w:r w:rsidR="00681754" w:rsidRPr="001D58D4">
        <w:rPr>
          <w:szCs w:val="22"/>
        </w:rPr>
        <w:t>assessment of this Proposal</w:t>
      </w:r>
      <w:r w:rsidRPr="001D58D4">
        <w:rPr>
          <w:szCs w:val="22"/>
        </w:rPr>
        <w:t xml:space="preserve"> are</w:t>
      </w:r>
      <w:r w:rsidRPr="0089264A">
        <w:rPr>
          <w:szCs w:val="22"/>
        </w:rPr>
        <w:t xml:space="preserve"> available on the FSANZ website at</w:t>
      </w:r>
      <w:r w:rsidR="00626B79">
        <w:rPr>
          <w:color w:val="FF0000"/>
          <w:szCs w:val="22"/>
        </w:rPr>
        <w:t xml:space="preserve"> </w:t>
      </w:r>
      <w:hyperlink r:id="rId23" w:history="1">
        <w:r w:rsidR="00456EE9" w:rsidRPr="007522BA">
          <w:rPr>
            <w:rStyle w:val="Hyperlink"/>
            <w:szCs w:val="22"/>
          </w:rPr>
          <w:t>http://www.foodstandards.gov.au/code/proposals/Pages/P1039MicroReviewInfantFormula.aspx</w:t>
        </w:r>
      </w:hyperlink>
    </w:p>
    <w:p w14:paraId="24142EAC" w14:textId="77777777" w:rsidR="0089264A" w:rsidRPr="0089264A" w:rsidRDefault="0089264A" w:rsidP="0089264A">
      <w:pPr>
        <w:rPr>
          <w:szCs w:val="22"/>
        </w:rPr>
      </w:pPr>
    </w:p>
    <w:p w14:paraId="5A911579" w14:textId="77777777" w:rsidR="00F35337" w:rsidRDefault="0089264A" w:rsidP="00F35337">
      <w:pPr>
        <w:ind w:left="1134" w:hanging="1134"/>
        <w:rPr>
          <w:bCs/>
          <w:iCs/>
        </w:rPr>
      </w:pPr>
      <w:r w:rsidRPr="00F35337">
        <w:t>SD1</w:t>
      </w:r>
      <w:r w:rsidRPr="00F35337">
        <w:tab/>
      </w:r>
      <w:r w:rsidR="00F35337" w:rsidRPr="00F35337">
        <w:t>Scientific evidence informing the proposed m</w:t>
      </w:r>
      <w:r w:rsidR="00F35337" w:rsidRPr="00F35337">
        <w:rPr>
          <w:bCs/>
          <w:iCs/>
        </w:rPr>
        <w:t>icrobiological criteria for infant formula</w:t>
      </w:r>
    </w:p>
    <w:p w14:paraId="7338EAA8" w14:textId="4C251E74" w:rsidR="00F35337" w:rsidRPr="00F35337" w:rsidRDefault="001D58D4" w:rsidP="00F35337">
      <w:pPr>
        <w:ind w:left="1134" w:hanging="1134"/>
        <w:rPr>
          <w:bCs/>
        </w:rPr>
      </w:pPr>
      <w:r w:rsidRPr="00F35337">
        <w:t>SD2</w:t>
      </w:r>
      <w:r w:rsidRPr="00F35337">
        <w:tab/>
      </w:r>
      <w:r w:rsidR="00B24B5E">
        <w:t>P</w:t>
      </w:r>
      <w:r w:rsidR="00825EF5">
        <w:rPr>
          <w:bCs/>
        </w:rPr>
        <w:t>rocess hygiene c</w:t>
      </w:r>
      <w:r w:rsidR="00F35337" w:rsidRPr="00F35337">
        <w:rPr>
          <w:bCs/>
        </w:rPr>
        <w:t xml:space="preserve">riteria </w:t>
      </w:r>
    </w:p>
    <w:p w14:paraId="7092B3FB" w14:textId="4DF96232" w:rsidR="001D58D4" w:rsidRPr="00F35337" w:rsidRDefault="001D58D4" w:rsidP="001D58D4">
      <w:pPr>
        <w:ind w:left="1134" w:hanging="1134"/>
        <w:rPr>
          <w:bCs/>
          <w:iCs/>
        </w:rPr>
      </w:pPr>
    </w:p>
    <w:p w14:paraId="1D5B771E" w14:textId="77777777" w:rsidR="001D58D4" w:rsidRPr="003A7725" w:rsidRDefault="001D58D4" w:rsidP="003A7725">
      <w:pPr>
        <w:ind w:left="1134" w:hanging="1134"/>
        <w:rPr>
          <w:color w:val="FF0000"/>
        </w:rPr>
      </w:pPr>
    </w:p>
    <w:p w14:paraId="3BF80AA2" w14:textId="77777777" w:rsidR="00051ED9" w:rsidRDefault="00562917" w:rsidP="00772BDC">
      <w:r w:rsidRPr="00E203C2">
        <w:br w:type="page"/>
      </w:r>
    </w:p>
    <w:p w14:paraId="35BCB13C" w14:textId="77777777" w:rsidR="00E063C6" w:rsidRDefault="00F33BB8" w:rsidP="000A5DF8">
      <w:pPr>
        <w:pStyle w:val="Heading1"/>
      </w:pPr>
      <w:bookmarkStart w:id="1" w:name="_Toc286391001"/>
      <w:bookmarkStart w:id="2" w:name="_Toc300933414"/>
      <w:bookmarkStart w:id="3" w:name="_Toc11735627"/>
      <w:bookmarkStart w:id="4" w:name="_Toc29883110"/>
      <w:bookmarkStart w:id="5" w:name="_Toc41906797"/>
      <w:bookmarkStart w:id="6" w:name="_Toc41907544"/>
      <w:bookmarkStart w:id="7" w:name="_Toc120358575"/>
      <w:bookmarkStart w:id="8" w:name="_Toc431997669"/>
      <w:r>
        <w:lastRenderedPageBreak/>
        <w:t>E</w:t>
      </w:r>
      <w:r w:rsidR="0037520F">
        <w:t>xecutive s</w:t>
      </w:r>
      <w:r w:rsidR="00E063C6" w:rsidRPr="00E203C2">
        <w:t>ummary</w:t>
      </w:r>
      <w:bookmarkEnd w:id="1"/>
      <w:bookmarkEnd w:id="2"/>
      <w:bookmarkEnd w:id="8"/>
    </w:p>
    <w:p w14:paraId="2A6D6FDF" w14:textId="63A538DC" w:rsidR="00825EF5" w:rsidRDefault="00825EF5" w:rsidP="00825EF5">
      <w:bookmarkStart w:id="9" w:name="_Toc286391003"/>
      <w:r w:rsidRPr="001E68AA">
        <w:t>The</w:t>
      </w:r>
      <w:r w:rsidRPr="001E68AA" w:rsidDel="00D427D6">
        <w:t xml:space="preserve"> </w:t>
      </w:r>
      <w:r w:rsidRPr="001E68AA">
        <w:t>microbiological limits in the</w:t>
      </w:r>
      <w:r w:rsidR="00D427D6">
        <w:t xml:space="preserve"> current</w:t>
      </w:r>
      <w:r w:rsidRPr="001E68AA">
        <w:t xml:space="preserve"> </w:t>
      </w:r>
      <w:r w:rsidRPr="001E68AA">
        <w:rPr>
          <w:i/>
        </w:rPr>
        <w:t>Australia New Zealand Food Standards Code</w:t>
      </w:r>
      <w:r w:rsidRPr="001E68AA">
        <w:t xml:space="preserve"> (the Code) and associated guidelines were developed before 2000. Since then, a preventative through-chain approach to food safety has evolved and work has progressed internationally to further inform our understanding of pathogen management in the food chain, including the management of ‘emerging’ pathogens. </w:t>
      </w:r>
    </w:p>
    <w:p w14:paraId="43697C81" w14:textId="77777777" w:rsidR="00825EF5" w:rsidRDefault="00825EF5" w:rsidP="00825EF5"/>
    <w:p w14:paraId="1E0210B3" w14:textId="3B574B0F" w:rsidR="00825EF5" w:rsidRPr="0071595D" w:rsidRDefault="00825EF5" w:rsidP="00825EF5">
      <w:pPr>
        <w:rPr>
          <w:b/>
        </w:rPr>
      </w:pPr>
      <w:r w:rsidRPr="0071595D">
        <w:t xml:space="preserve">Internationally, the Codex Alimentarius and the International Commission on Microbiological Specifications for Foods (ICMSF) have provided the lead on contemporary food safety management approaches and the application of microbiological criteria. </w:t>
      </w:r>
      <w:r>
        <w:t xml:space="preserve">An important </w:t>
      </w:r>
      <w:r w:rsidRPr="0071595D">
        <w:t>principle is that a microbiological criterion is established at a specified point in the food chain for a particular purpose. In general</w:t>
      </w:r>
      <w:r w:rsidR="00FE291F">
        <w:t>,</w:t>
      </w:r>
      <w:r w:rsidRPr="0071595D">
        <w:t xml:space="preserve"> this is to establish the safety of a food or to verify that the food safety control system or elements of it are working as</w:t>
      </w:r>
      <w:r>
        <w:t xml:space="preserve"> intended. </w:t>
      </w:r>
      <w:r w:rsidRPr="0071595D">
        <w:t>The terms food safety criteria and process hygiene criteria have been used internationally to differentiate the intended purpose of specific criteria</w:t>
      </w:r>
      <w:r>
        <w:t xml:space="preserve">. </w:t>
      </w:r>
      <w:r w:rsidRPr="0071595D">
        <w:t xml:space="preserve"> </w:t>
      </w:r>
    </w:p>
    <w:p w14:paraId="50477167" w14:textId="77777777" w:rsidR="00825EF5" w:rsidRDefault="00825EF5" w:rsidP="00825EF5"/>
    <w:p w14:paraId="5FD6561B" w14:textId="77777777" w:rsidR="00825EF5" w:rsidRDefault="00825EF5" w:rsidP="00825EF5">
      <w:r w:rsidRPr="00BF70AB">
        <w:t>FSANZ</w:t>
      </w:r>
      <w:r>
        <w:t>’s</w:t>
      </w:r>
      <w:r w:rsidRPr="00BF70AB">
        <w:t xml:space="preserve"> risk management approach is </w:t>
      </w:r>
      <w:r>
        <w:t>to establish</w:t>
      </w:r>
      <w:r w:rsidRPr="00BF70AB">
        <w:t xml:space="preserve"> microbiological criteria as either</w:t>
      </w:r>
      <w:r>
        <w:t>:</w:t>
      </w:r>
    </w:p>
    <w:p w14:paraId="3CB233E8" w14:textId="77777777" w:rsidR="00825EF5" w:rsidRDefault="00825EF5" w:rsidP="00825EF5"/>
    <w:p w14:paraId="1B7E2CEA" w14:textId="11340F64" w:rsidR="00825EF5" w:rsidRDefault="00825EF5" w:rsidP="00825EF5">
      <w:pPr>
        <w:pStyle w:val="FSBullet"/>
      </w:pPr>
      <w:r w:rsidRPr="00BF70AB">
        <w:rPr>
          <w:b/>
        </w:rPr>
        <w:t>food safety criteria</w:t>
      </w:r>
      <w:r w:rsidRPr="00BF70AB">
        <w:t xml:space="preserve"> </w:t>
      </w:r>
      <w:r>
        <w:t>or</w:t>
      </w:r>
    </w:p>
    <w:p w14:paraId="528DDA7C" w14:textId="77777777" w:rsidR="00825EF5" w:rsidRDefault="00825EF5" w:rsidP="00825EF5">
      <w:pPr>
        <w:pStyle w:val="FSBullet"/>
        <w:numPr>
          <w:ilvl w:val="0"/>
          <w:numId w:val="0"/>
        </w:numPr>
        <w:ind w:left="567"/>
      </w:pPr>
      <w:r w:rsidRPr="00BF70AB">
        <w:t xml:space="preserve"> </w:t>
      </w:r>
    </w:p>
    <w:p w14:paraId="270399D8" w14:textId="1FB58174" w:rsidR="00825EF5" w:rsidRPr="00BF70AB" w:rsidRDefault="00825EF5" w:rsidP="00825EF5">
      <w:pPr>
        <w:pStyle w:val="FSBullet"/>
      </w:pPr>
      <w:r w:rsidRPr="00BF70AB">
        <w:rPr>
          <w:b/>
        </w:rPr>
        <w:t>process hygiene criteria</w:t>
      </w:r>
      <w:r w:rsidRPr="00BF70AB">
        <w:t xml:space="preserve"> </w:t>
      </w:r>
    </w:p>
    <w:p w14:paraId="5031C24B" w14:textId="77777777" w:rsidR="00825EF5" w:rsidRDefault="00825EF5" w:rsidP="00825EF5"/>
    <w:p w14:paraId="1FF79462" w14:textId="26CEBEF4" w:rsidR="00825EF5" w:rsidRPr="00BF70AB" w:rsidRDefault="00825EF5" w:rsidP="00825EF5">
      <w:r>
        <w:t>Together</w:t>
      </w:r>
      <w:r w:rsidR="00D427D6">
        <w:t>,</w:t>
      </w:r>
      <w:r>
        <w:t xml:space="preserve"> these microbiological criteria </w:t>
      </w:r>
      <w:r w:rsidRPr="00BF70AB">
        <w:t>should provide a “fit for purpose” suite of decision criteria appropriate to the microbiological testing needed to</w:t>
      </w:r>
      <w:r>
        <w:t xml:space="preserve"> support the safe production of a food as depicted below.</w:t>
      </w:r>
      <w:r w:rsidRPr="00BF70AB">
        <w:t xml:space="preserve"> </w:t>
      </w:r>
    </w:p>
    <w:p w14:paraId="0530037A" w14:textId="77777777" w:rsidR="00825EF5" w:rsidRPr="00EB6243" w:rsidRDefault="00825EF5" w:rsidP="00825EF5"/>
    <w:p w14:paraId="146EB68D" w14:textId="77777777" w:rsidR="00825EF5" w:rsidRDefault="00825EF5" w:rsidP="00825EF5">
      <w:r w:rsidRPr="00EB6243">
        <w:t xml:space="preserve">In 2008, the Codex Committee on Food Hygiene (CCFH) revised the </w:t>
      </w:r>
      <w:r w:rsidRPr="00EB6243">
        <w:rPr>
          <w:i/>
        </w:rPr>
        <w:t>Code of hygienic practice for powdered infant formulae for infants and young children</w:t>
      </w:r>
      <w:r w:rsidRPr="00EB6243">
        <w:t xml:space="preserve"> </w:t>
      </w:r>
      <w:r w:rsidRPr="00EB6243">
        <w:rPr>
          <w:i/>
        </w:rPr>
        <w:t>(CAC/RCP 66 - 2008)</w:t>
      </w:r>
      <w:r w:rsidRPr="00EB6243">
        <w:t xml:space="preserve"> in response to the emergence of </w:t>
      </w:r>
      <w:r w:rsidRPr="00EB6243">
        <w:rPr>
          <w:i/>
        </w:rPr>
        <w:t>Cronobacter</w:t>
      </w:r>
      <w:r w:rsidRPr="00EB6243">
        <w:t xml:space="preserve"> species (referred to as </w:t>
      </w:r>
      <w:r w:rsidRPr="00EB6243">
        <w:rPr>
          <w:i/>
        </w:rPr>
        <w:t>Enterobacter sakazakii</w:t>
      </w:r>
      <w:r w:rsidRPr="00EB6243">
        <w:t xml:space="preserve"> prior to 2008) as an important pathogen for infants fed with powdered infant formula (PIF). The revised code introduced a set of microbiological criteria for </w:t>
      </w:r>
      <w:r w:rsidRPr="00EB6243">
        <w:rPr>
          <w:i/>
        </w:rPr>
        <w:t xml:space="preserve">Cronobacter </w:t>
      </w:r>
      <w:r w:rsidRPr="00EB6243">
        <w:t xml:space="preserve">spp. in PIF, and reconfirmed the application of a set of microbiological criteria for </w:t>
      </w:r>
      <w:r w:rsidRPr="00EB6243">
        <w:rPr>
          <w:i/>
        </w:rPr>
        <w:t>Salmonella</w:t>
      </w:r>
      <w:r w:rsidRPr="00EB6243">
        <w:t xml:space="preserve"> spp. in both PIF and follow-up formula (FUF). </w:t>
      </w:r>
    </w:p>
    <w:p w14:paraId="65EC0BD6" w14:textId="77777777" w:rsidR="00825EF5" w:rsidRDefault="00825EF5" w:rsidP="00825EF5"/>
    <w:p w14:paraId="251676AB" w14:textId="470E1E62" w:rsidR="00825EF5" w:rsidRDefault="00825EF5" w:rsidP="00825EF5">
      <w:r>
        <w:t>Proposal P1039 has been prepared to</w:t>
      </w:r>
      <w:r w:rsidRPr="001E68AA">
        <w:t xml:space="preserve"> </w:t>
      </w:r>
      <w:r>
        <w:t>review</w:t>
      </w:r>
      <w:r w:rsidRPr="001E68AA">
        <w:t xml:space="preserve"> microbiological limits in Standard 1.6.1 </w:t>
      </w:r>
      <w:r>
        <w:t xml:space="preserve">and the associated Schedule 27 </w:t>
      </w:r>
      <w:r w:rsidRPr="001E68AA">
        <w:t xml:space="preserve">in light of these approaches. </w:t>
      </w:r>
      <w:r>
        <w:t>The principles underpinning the second stage of the review of microbiological criteria were consulted on in early 2015</w:t>
      </w:r>
      <w:r>
        <w:rPr>
          <w:rStyle w:val="FootnoteReference"/>
        </w:rPr>
        <w:footnoteReference w:id="2"/>
      </w:r>
      <w:r>
        <w:t xml:space="preserve"> and the submissions from this consultation informed the work on powdered infant formula under Proposal P1039.</w:t>
      </w:r>
    </w:p>
    <w:p w14:paraId="066E294D" w14:textId="77777777" w:rsidR="00825EF5" w:rsidRDefault="00825EF5" w:rsidP="00825EF5"/>
    <w:p w14:paraId="6C70E9D7" w14:textId="7F98521D" w:rsidR="00825EF5" w:rsidRDefault="00505B8D" w:rsidP="00825EF5">
      <w:r>
        <w:t xml:space="preserve">Aligning with the outcomes from the Codex risk assessment, </w:t>
      </w:r>
      <w:r w:rsidR="00825EF5">
        <w:t>FSANZ has prepared a draft variation to the Code to include only food safety microbiological criteria, with process hygiene criteria (which should not be used for regulatory purposes)</w:t>
      </w:r>
      <w:r>
        <w:t xml:space="preserve"> being </w:t>
      </w:r>
      <w:r w:rsidR="0095379E">
        <w:t>re</w:t>
      </w:r>
      <w:r>
        <w:t>moved</w:t>
      </w:r>
      <w:r w:rsidR="0095379E">
        <w:t xml:space="preserve">. </w:t>
      </w:r>
      <w:r w:rsidR="00825EF5">
        <w:t xml:space="preserve">To support this approach a draft guidance document </w:t>
      </w:r>
      <w:r w:rsidRPr="00505B8D">
        <w:rPr>
          <w:bCs/>
          <w:i/>
        </w:rPr>
        <w:t>Compendium of Microbiological Criteria for Food</w:t>
      </w:r>
      <w:r w:rsidR="00825EF5">
        <w:t xml:space="preserve"> has been developed and is provided for comment as Supporting Document </w:t>
      </w:r>
      <w:r>
        <w:t>2</w:t>
      </w:r>
      <w:r w:rsidR="00825EF5">
        <w:t xml:space="preserve"> (SD</w:t>
      </w:r>
      <w:r>
        <w:t>2</w:t>
      </w:r>
      <w:r w:rsidR="00825EF5">
        <w:t>).</w:t>
      </w:r>
    </w:p>
    <w:p w14:paraId="11932DE8" w14:textId="5654CB10" w:rsidR="0095379E" w:rsidRDefault="0095379E">
      <w:pPr>
        <w:widowControl/>
      </w:pPr>
      <w:r>
        <w:br w:type="page"/>
      </w:r>
    </w:p>
    <w:p w14:paraId="1E6551D1" w14:textId="77777777" w:rsidR="002A5F8B" w:rsidRPr="000B6AF2" w:rsidRDefault="00F33BB8" w:rsidP="000B6AF2">
      <w:pPr>
        <w:pStyle w:val="Heading1"/>
      </w:pPr>
      <w:bookmarkStart w:id="10" w:name="_Toc300933417"/>
      <w:bookmarkStart w:id="11" w:name="_Toc431997670"/>
      <w:r>
        <w:lastRenderedPageBreak/>
        <w:t>1</w:t>
      </w:r>
      <w:r w:rsidR="001542D8">
        <w:tab/>
      </w:r>
      <w:r w:rsidR="002A5F8B" w:rsidRPr="000B6AF2">
        <w:t>Introduction</w:t>
      </w:r>
      <w:bookmarkEnd w:id="9"/>
      <w:bookmarkEnd w:id="10"/>
      <w:bookmarkEnd w:id="11"/>
    </w:p>
    <w:p w14:paraId="60586560" w14:textId="7E4CE601" w:rsidR="00EE333F" w:rsidRDefault="00EE333F" w:rsidP="00EE333F">
      <w:bookmarkStart w:id="12" w:name="_Toc300761892"/>
      <w:bookmarkStart w:id="13" w:name="_Toc300933421"/>
      <w:r w:rsidRPr="001E68AA">
        <w:t xml:space="preserve">The existing microbiological </w:t>
      </w:r>
      <w:r w:rsidR="0095379E">
        <w:t xml:space="preserve">limits in </w:t>
      </w:r>
      <w:r w:rsidR="00585BEF">
        <w:t>the Code</w:t>
      </w:r>
      <w:r w:rsidR="0095379E">
        <w:t xml:space="preserve"> </w:t>
      </w:r>
      <w:r w:rsidRPr="001E68AA">
        <w:t xml:space="preserve">and associated guidelines were developed before 2000. Since then, a preventative through-chain approach to food safety has evolved and work has progressed internationally </w:t>
      </w:r>
      <w:r w:rsidR="000A2B69">
        <w:t xml:space="preserve">through Codex Alimentarius (Codex) </w:t>
      </w:r>
      <w:r w:rsidRPr="001E68AA">
        <w:t xml:space="preserve">to further inform our understanding of pathogen management in the food chain, including the management of ‘emerging’ pathogens. </w:t>
      </w:r>
    </w:p>
    <w:p w14:paraId="45938D1F" w14:textId="77777777" w:rsidR="00EE333F" w:rsidRDefault="00EE333F" w:rsidP="00EE333F"/>
    <w:p w14:paraId="36F5BAB1" w14:textId="6B91F3C4" w:rsidR="00EE333F" w:rsidRDefault="00EE333F" w:rsidP="00EE333F">
      <w:r>
        <w:t>Proposal P1039 has been prepared to</w:t>
      </w:r>
      <w:r w:rsidRPr="001E68AA">
        <w:t xml:space="preserve"> </w:t>
      </w:r>
      <w:r>
        <w:t>review</w:t>
      </w:r>
      <w:r w:rsidRPr="001E68AA">
        <w:t xml:space="preserve"> microbiological limits in Standard 1.6.1 </w:t>
      </w:r>
      <w:r>
        <w:t xml:space="preserve">and the associated Schedule 27 </w:t>
      </w:r>
      <w:r w:rsidRPr="001E68AA">
        <w:t xml:space="preserve">in light of these approaches. </w:t>
      </w:r>
      <w:r w:rsidR="003C30E4">
        <w:t>FSANZ consulted on t</w:t>
      </w:r>
      <w:r w:rsidR="003C2C5E">
        <w:t>he principles underpinning the second stage of the review of microbiological criteria in early 2015</w:t>
      </w:r>
      <w:r w:rsidR="003C2C5E">
        <w:rPr>
          <w:rStyle w:val="FootnoteReference"/>
        </w:rPr>
        <w:footnoteReference w:id="3"/>
      </w:r>
      <w:r w:rsidR="003C2C5E">
        <w:t xml:space="preserve"> and the </w:t>
      </w:r>
      <w:r w:rsidR="003C30E4">
        <w:t xml:space="preserve">resulting </w:t>
      </w:r>
      <w:r w:rsidR="003C2C5E">
        <w:t xml:space="preserve">submissions </w:t>
      </w:r>
      <w:r w:rsidR="003C30E4">
        <w:t>ha</w:t>
      </w:r>
      <w:r w:rsidR="00E36CC6">
        <w:t>ve</w:t>
      </w:r>
      <w:r w:rsidR="003C30E4">
        <w:t xml:space="preserve"> </w:t>
      </w:r>
      <w:r w:rsidR="00613777">
        <w:t>in</w:t>
      </w:r>
      <w:r w:rsidR="003C2C5E">
        <w:t>formed</w:t>
      </w:r>
      <w:r w:rsidR="003C30E4">
        <w:t xml:space="preserve"> our </w:t>
      </w:r>
      <w:r w:rsidR="003C2C5E">
        <w:t xml:space="preserve">work </w:t>
      </w:r>
      <w:r w:rsidR="003C30E4">
        <w:t>on th</w:t>
      </w:r>
      <w:r w:rsidR="00A756AD">
        <w:t>is</w:t>
      </w:r>
      <w:r w:rsidR="003C30E4">
        <w:t xml:space="preserve"> </w:t>
      </w:r>
      <w:r w:rsidR="003C2C5E">
        <w:t>Proposal.</w:t>
      </w:r>
    </w:p>
    <w:p w14:paraId="657AF6AC" w14:textId="77777777" w:rsidR="00EE333F" w:rsidRDefault="00EE333F" w:rsidP="00C86664"/>
    <w:p w14:paraId="4EAE6B03" w14:textId="030E6ACA" w:rsidR="00C86664" w:rsidRDefault="00C86664" w:rsidP="00C86664">
      <w:r>
        <w:t xml:space="preserve">A revised Code was gazetted in April 2015 and will take effect on 1 March 2016. The microbiological criteria for infant formula are listed in Schedule </w:t>
      </w:r>
      <w:r w:rsidR="00E52C13">
        <w:t>27</w:t>
      </w:r>
      <w:r w:rsidR="00A756AD">
        <w:t xml:space="preserve"> </w:t>
      </w:r>
      <w:r w:rsidDel="00E52C13">
        <w:t>in the revised Code</w:t>
      </w:r>
      <w:r w:rsidR="00A756AD">
        <w:t>.</w:t>
      </w:r>
    </w:p>
    <w:p w14:paraId="144C2124" w14:textId="77777777" w:rsidR="00C86664" w:rsidRDefault="00C86664" w:rsidP="00C86664"/>
    <w:p w14:paraId="52C337A7" w14:textId="66A574C8" w:rsidR="00D14ADE" w:rsidRDefault="00A73858" w:rsidP="00C86664">
      <w:r>
        <w:t>As t</w:t>
      </w:r>
      <w:r w:rsidR="00C86664">
        <w:t xml:space="preserve">he expected gazettal date of </w:t>
      </w:r>
      <w:r>
        <w:t xml:space="preserve">any approved draft variations arising from </w:t>
      </w:r>
      <w:r w:rsidR="00C86664">
        <w:t xml:space="preserve">this </w:t>
      </w:r>
      <w:r>
        <w:t>P</w:t>
      </w:r>
      <w:r w:rsidR="00C86664">
        <w:t xml:space="preserve">roposal is after the revised Code takes effect, </w:t>
      </w:r>
      <w:r>
        <w:t>all references to the Code in this summary are to the revised Code</w:t>
      </w:r>
      <w:r w:rsidR="00C86664">
        <w:t>.</w:t>
      </w:r>
    </w:p>
    <w:p w14:paraId="700266EB" w14:textId="72602164" w:rsidR="0053464E" w:rsidRPr="0053464E" w:rsidRDefault="00F33BB8" w:rsidP="001E68AA">
      <w:pPr>
        <w:pStyle w:val="Heading2"/>
      </w:pPr>
      <w:bookmarkStart w:id="14" w:name="_Toc431997671"/>
      <w:r>
        <w:t>1</w:t>
      </w:r>
      <w:r w:rsidR="00A56E34">
        <w:t>.</w:t>
      </w:r>
      <w:r w:rsidR="00C86664">
        <w:t>1</w:t>
      </w:r>
      <w:r w:rsidR="00A56E34">
        <w:tab/>
        <w:t>The c</w:t>
      </w:r>
      <w:r w:rsidR="0053464E" w:rsidRPr="0053464E">
        <w:t>urrent Standard</w:t>
      </w:r>
      <w:bookmarkEnd w:id="12"/>
      <w:bookmarkEnd w:id="13"/>
      <w:bookmarkEnd w:id="14"/>
    </w:p>
    <w:p w14:paraId="4176C7AF" w14:textId="48294BE5" w:rsidR="00A73858" w:rsidRDefault="001E68AA" w:rsidP="001E68AA">
      <w:pPr>
        <w:rPr>
          <w:szCs w:val="20"/>
        </w:rPr>
      </w:pPr>
      <w:r w:rsidRPr="001E68AA">
        <w:t>T</w:t>
      </w:r>
      <w:r w:rsidRPr="001E68AA">
        <w:rPr>
          <w:szCs w:val="20"/>
        </w:rPr>
        <w:t>he current infant formula limits in Schedule 27 do not reflect recent scientific knowledge and approaches to food safety (</w:t>
      </w:r>
      <w:r w:rsidR="003C30E4">
        <w:rPr>
          <w:szCs w:val="20"/>
        </w:rPr>
        <w:t xml:space="preserve">i.e. they are </w:t>
      </w:r>
      <w:r w:rsidRPr="001E68AA">
        <w:rPr>
          <w:szCs w:val="20"/>
        </w:rPr>
        <w:t>not fit for purpose)</w:t>
      </w:r>
      <w:r w:rsidR="003C30E4">
        <w:rPr>
          <w:szCs w:val="20"/>
        </w:rPr>
        <w:t xml:space="preserve"> because</w:t>
      </w:r>
      <w:r w:rsidRPr="001E68AA">
        <w:rPr>
          <w:szCs w:val="20"/>
        </w:rPr>
        <w:t>:</w:t>
      </w:r>
    </w:p>
    <w:p w14:paraId="27B8398B" w14:textId="04D76409" w:rsidR="001E68AA" w:rsidRPr="001E68AA" w:rsidRDefault="001E68AA" w:rsidP="001E68AA">
      <w:pPr>
        <w:rPr>
          <w:szCs w:val="20"/>
        </w:rPr>
      </w:pPr>
      <w:r w:rsidRPr="001E68AA">
        <w:rPr>
          <w:szCs w:val="20"/>
        </w:rPr>
        <w:t xml:space="preserve"> </w:t>
      </w:r>
    </w:p>
    <w:p w14:paraId="618443B7" w14:textId="5E1F5578" w:rsidR="001E68AA" w:rsidRPr="001E68AA" w:rsidRDefault="003C30E4" w:rsidP="00A756AD">
      <w:pPr>
        <w:pStyle w:val="FSBullet1"/>
      </w:pPr>
      <w:r>
        <w:t>t</w:t>
      </w:r>
      <w:r w:rsidR="001E68AA" w:rsidRPr="001E68AA">
        <w:t xml:space="preserve">he limits are out of step with more recent international risk assessment work and microbiological criteria developed by Codex for powdered infant formula for the pathogens </w:t>
      </w:r>
      <w:r w:rsidR="001E68AA" w:rsidRPr="001E68AA">
        <w:rPr>
          <w:i/>
        </w:rPr>
        <w:t xml:space="preserve">Cronobacter </w:t>
      </w:r>
      <w:r w:rsidR="001E68AA" w:rsidRPr="001E68AA">
        <w:t xml:space="preserve">species and </w:t>
      </w:r>
      <w:r w:rsidR="001E68AA" w:rsidRPr="001E68AA">
        <w:rPr>
          <w:i/>
        </w:rPr>
        <w:t>Salmonella</w:t>
      </w:r>
    </w:p>
    <w:p w14:paraId="2A26A27E" w14:textId="7D662530" w:rsidR="001E68AA" w:rsidRPr="001E68AA" w:rsidRDefault="003C30E4" w:rsidP="00A756AD">
      <w:pPr>
        <w:pStyle w:val="FSBullet1"/>
      </w:pPr>
      <w:r>
        <w:t>l</w:t>
      </w:r>
      <w:r w:rsidR="001E68AA" w:rsidRPr="001E68AA">
        <w:t>imits are included for indicator tests that are not appropriate as pass/fail criteria for a lot of food</w:t>
      </w:r>
    </w:p>
    <w:p w14:paraId="38316E59" w14:textId="52ADB047" w:rsidR="00C47A6F" w:rsidRPr="001D58D4" w:rsidRDefault="003C30E4" w:rsidP="00A756AD">
      <w:pPr>
        <w:pStyle w:val="FSBullet1"/>
      </w:pPr>
      <w:r>
        <w:t>l</w:t>
      </w:r>
      <w:r w:rsidR="001E68AA" w:rsidRPr="001E68AA">
        <w:t>imits are included for pathogens which do not represent a direct threat to the health of infants</w:t>
      </w:r>
      <w:r w:rsidR="001E68AA">
        <w:t>.</w:t>
      </w:r>
    </w:p>
    <w:p w14:paraId="747F900A" w14:textId="6CEDFA34" w:rsidR="00AF387F" w:rsidRPr="00D14ADE" w:rsidRDefault="00F33BB8" w:rsidP="00D062E4">
      <w:pPr>
        <w:pStyle w:val="Heading2"/>
        <w:rPr>
          <w:u w:color="FFFF00"/>
        </w:rPr>
      </w:pPr>
      <w:bookmarkStart w:id="15" w:name="_Toc286391007"/>
      <w:bookmarkStart w:id="16" w:name="_Toc300933423"/>
      <w:bookmarkStart w:id="17" w:name="_Toc175381432"/>
      <w:bookmarkStart w:id="18" w:name="_Toc431997672"/>
      <w:r w:rsidRPr="00D14ADE">
        <w:rPr>
          <w:u w:color="FFFF00"/>
        </w:rPr>
        <w:t>1</w:t>
      </w:r>
      <w:r w:rsidR="00606C88" w:rsidRPr="00D14ADE">
        <w:rPr>
          <w:u w:color="FFFF00"/>
        </w:rPr>
        <w:t>.</w:t>
      </w:r>
      <w:r w:rsidR="00C86664">
        <w:rPr>
          <w:u w:color="FFFF00"/>
        </w:rPr>
        <w:t>2</w:t>
      </w:r>
      <w:r w:rsidR="001542D8" w:rsidRPr="00D14ADE">
        <w:rPr>
          <w:u w:color="FFFF00"/>
        </w:rPr>
        <w:tab/>
      </w:r>
      <w:r w:rsidR="00741EFE" w:rsidRPr="00D14ADE">
        <w:rPr>
          <w:u w:color="FFFF00"/>
        </w:rPr>
        <w:t xml:space="preserve">Reasons for </w:t>
      </w:r>
      <w:bookmarkEnd w:id="15"/>
      <w:bookmarkEnd w:id="16"/>
      <w:r w:rsidR="00DE79D9" w:rsidRPr="00D14ADE">
        <w:t>preparing the Proposal</w:t>
      </w:r>
      <w:bookmarkEnd w:id="18"/>
    </w:p>
    <w:p w14:paraId="2E9F0A1B" w14:textId="4B480947" w:rsidR="00D14ADE" w:rsidRDefault="00D14ADE" w:rsidP="00D14ADE">
      <w:bookmarkStart w:id="19" w:name="_Toc286391008"/>
      <w:bookmarkStart w:id="20" w:name="_Toc11735630"/>
      <w:bookmarkStart w:id="21" w:name="_Toc29883114"/>
      <w:bookmarkStart w:id="22" w:name="_Toc41906801"/>
      <w:bookmarkStart w:id="23" w:name="_Toc41907548"/>
      <w:bookmarkStart w:id="24" w:name="_Toc120358578"/>
      <w:bookmarkStart w:id="25" w:name="_Toc175381435"/>
      <w:bookmarkEnd w:id="3"/>
      <w:bookmarkEnd w:id="4"/>
      <w:bookmarkEnd w:id="5"/>
      <w:bookmarkEnd w:id="6"/>
      <w:bookmarkEnd w:id="7"/>
      <w:bookmarkEnd w:id="17"/>
      <w:r w:rsidRPr="001E68AA">
        <w:t xml:space="preserve">Proposal P1039 </w:t>
      </w:r>
      <w:r>
        <w:t>was prepared</w:t>
      </w:r>
      <w:r w:rsidRPr="001E68AA">
        <w:t xml:space="preserve"> to amend the Code to include food safety microbiological criteria for powdered infant formula products, aligning with</w:t>
      </w:r>
      <w:r>
        <w:t>:</w:t>
      </w:r>
    </w:p>
    <w:p w14:paraId="1E8421FD" w14:textId="77777777" w:rsidR="00A73858" w:rsidRDefault="00A73858" w:rsidP="00D14ADE"/>
    <w:p w14:paraId="6CC16489" w14:textId="2598D105" w:rsidR="00D14ADE" w:rsidRDefault="00D14ADE" w:rsidP="00A756AD">
      <w:pPr>
        <w:pStyle w:val="FSBullet1"/>
      </w:pPr>
      <w:r w:rsidRPr="00D14ADE">
        <w:t xml:space="preserve">international standards </w:t>
      </w:r>
      <w:r w:rsidR="000A2B69">
        <w:t xml:space="preserve">established by </w:t>
      </w:r>
      <w:r w:rsidRPr="00D14ADE">
        <w:t xml:space="preserve">Codex Alimentarius (Codex) </w:t>
      </w:r>
    </w:p>
    <w:p w14:paraId="3258A7C8" w14:textId="729779B1" w:rsidR="00D14ADE" w:rsidRPr="00D14ADE" w:rsidRDefault="00D14ADE" w:rsidP="00A756AD">
      <w:pPr>
        <w:pStyle w:val="FSBullet1"/>
      </w:pPr>
      <w:r w:rsidRPr="00D14ADE">
        <w:t xml:space="preserve">current </w:t>
      </w:r>
      <w:r>
        <w:rPr>
          <w:szCs w:val="20"/>
        </w:rPr>
        <w:t>scientific knowledge</w:t>
      </w:r>
      <w:r w:rsidRPr="00D14ADE">
        <w:rPr>
          <w:szCs w:val="20"/>
        </w:rPr>
        <w:t xml:space="preserve"> </w:t>
      </w:r>
    </w:p>
    <w:p w14:paraId="5AAC5E78" w14:textId="66F9BFC5" w:rsidR="00D14ADE" w:rsidRDefault="00D14ADE" w:rsidP="00A756AD">
      <w:pPr>
        <w:pStyle w:val="FSBullet1"/>
      </w:pPr>
      <w:r w:rsidRPr="00D14ADE">
        <w:t>best practice manufacturing processes</w:t>
      </w:r>
    </w:p>
    <w:p w14:paraId="322F6C02" w14:textId="21B10361" w:rsidR="00D14ADE" w:rsidRPr="00D14ADE" w:rsidRDefault="00D14ADE" w:rsidP="00A756AD">
      <w:pPr>
        <w:pStyle w:val="FSBullet1"/>
      </w:pPr>
      <w:r w:rsidRPr="00D14ADE">
        <w:t xml:space="preserve">the transition to outcomes based risk management processes. </w:t>
      </w:r>
    </w:p>
    <w:p w14:paraId="79CDAAA6" w14:textId="00A486EB" w:rsidR="00DE79D9" w:rsidRPr="00D14ADE" w:rsidRDefault="00D3171B" w:rsidP="00D14ADE">
      <w:pPr>
        <w:pStyle w:val="Heading2"/>
        <w:rPr>
          <w:u w:color="FFFF00"/>
        </w:rPr>
      </w:pPr>
      <w:bookmarkStart w:id="26" w:name="_Toc431997673"/>
      <w:r w:rsidRPr="00D14ADE">
        <w:rPr>
          <w:u w:color="FFFF00"/>
        </w:rPr>
        <w:t>1</w:t>
      </w:r>
      <w:r w:rsidR="00606C88" w:rsidRPr="00D14ADE">
        <w:rPr>
          <w:u w:color="FFFF00"/>
        </w:rPr>
        <w:t>.</w:t>
      </w:r>
      <w:r w:rsidR="00C86664">
        <w:rPr>
          <w:u w:color="FFFF00"/>
        </w:rPr>
        <w:t>3</w:t>
      </w:r>
      <w:r w:rsidR="00DE79D9" w:rsidRPr="00D14ADE">
        <w:rPr>
          <w:u w:color="FFFF00"/>
        </w:rPr>
        <w:tab/>
        <w:t>Procedure for assessment</w:t>
      </w:r>
      <w:bookmarkEnd w:id="26"/>
    </w:p>
    <w:p w14:paraId="62188CEE" w14:textId="6BAC8FAE" w:rsidR="00DE79D9" w:rsidRPr="00D14ADE" w:rsidRDefault="00DE79D9" w:rsidP="00DE79D9">
      <w:r w:rsidRPr="00D14ADE">
        <w:t>The Proposal is being assessed under the General Procedure.</w:t>
      </w:r>
    </w:p>
    <w:p w14:paraId="62E36325" w14:textId="77777777" w:rsidR="00DE79D9" w:rsidRPr="00D062E4" w:rsidRDefault="00DE79D9" w:rsidP="00180C41"/>
    <w:p w14:paraId="485F76BB" w14:textId="77777777" w:rsidR="00AF387F" w:rsidRPr="0095379E" w:rsidRDefault="00D3171B" w:rsidP="00180C41">
      <w:pPr>
        <w:pStyle w:val="Heading1"/>
      </w:pPr>
      <w:bookmarkStart w:id="27" w:name="_Toc300933424"/>
      <w:bookmarkStart w:id="28" w:name="_Toc431997674"/>
      <w:r w:rsidRPr="0095379E">
        <w:lastRenderedPageBreak/>
        <w:t>2</w:t>
      </w:r>
      <w:r w:rsidR="001542D8" w:rsidRPr="0095379E">
        <w:tab/>
      </w:r>
      <w:r w:rsidR="00350DBD" w:rsidRPr="0095379E">
        <w:t>S</w:t>
      </w:r>
      <w:r w:rsidR="00FB1533" w:rsidRPr="0095379E">
        <w:t>ummary of the a</w:t>
      </w:r>
      <w:r w:rsidR="00FD2FBE" w:rsidRPr="0095379E">
        <w:t>ssessment</w:t>
      </w:r>
      <w:bookmarkEnd w:id="19"/>
      <w:bookmarkEnd w:id="27"/>
      <w:bookmarkEnd w:id="28"/>
    </w:p>
    <w:p w14:paraId="4A20DEC7" w14:textId="60A3AF96" w:rsidR="00A51BE9" w:rsidRPr="00A3700A" w:rsidRDefault="00A51BE9" w:rsidP="0037182C">
      <w:pPr>
        <w:pStyle w:val="Heading2"/>
      </w:pPr>
      <w:bookmarkStart w:id="29" w:name="_Toc175381442"/>
      <w:bookmarkStart w:id="30" w:name="_Toc286391010"/>
      <w:bookmarkStart w:id="31" w:name="_Toc300933426"/>
      <w:bookmarkStart w:id="32" w:name="_Toc431997675"/>
      <w:r w:rsidRPr="00A3700A">
        <w:t>2.</w:t>
      </w:r>
      <w:r w:rsidR="006F79EF">
        <w:t>1</w:t>
      </w:r>
      <w:r w:rsidRPr="00A3700A">
        <w:tab/>
        <w:t>Risk assessment</w:t>
      </w:r>
      <w:bookmarkEnd w:id="32"/>
      <w:r w:rsidRPr="00A3700A">
        <w:t xml:space="preserve"> </w:t>
      </w:r>
    </w:p>
    <w:p w14:paraId="7410CF6B" w14:textId="4900E882" w:rsidR="00EB6243" w:rsidRPr="00EB6243" w:rsidRDefault="00EB6243" w:rsidP="00EB6243">
      <w:r>
        <w:t xml:space="preserve">FSANZ has prepared a summary of the </w:t>
      </w:r>
      <w:r w:rsidRPr="00EB6243">
        <w:t>risk assessment work undertaken to inform the Codex risk management approach; in particular, the information supporting establishment of microbiological criteria</w:t>
      </w:r>
      <w:r>
        <w:t xml:space="preserve"> (refer to S</w:t>
      </w:r>
      <w:r w:rsidR="00141193">
        <w:t>D</w:t>
      </w:r>
      <w:r>
        <w:t>1)</w:t>
      </w:r>
      <w:r w:rsidRPr="00EB6243">
        <w:t xml:space="preserve">. </w:t>
      </w:r>
    </w:p>
    <w:p w14:paraId="43F22D03" w14:textId="77777777" w:rsidR="00EB6243" w:rsidRPr="00EB6243" w:rsidRDefault="00EB6243" w:rsidP="00EB6243"/>
    <w:p w14:paraId="3CB5B092" w14:textId="04F92587" w:rsidR="00EB6243" w:rsidRPr="00EB6243" w:rsidRDefault="00EB6243" w:rsidP="00EB6243">
      <w:r w:rsidRPr="00EB6243">
        <w:t xml:space="preserve">In 2008, the Codex Committee on Food Hygiene (CCFH) revised the </w:t>
      </w:r>
      <w:r w:rsidRPr="00EB6243">
        <w:rPr>
          <w:i/>
        </w:rPr>
        <w:t xml:space="preserve">Code of </w:t>
      </w:r>
      <w:r w:rsidR="007401DA">
        <w:rPr>
          <w:i/>
        </w:rPr>
        <w:t>H</w:t>
      </w:r>
      <w:r w:rsidRPr="00EB6243">
        <w:rPr>
          <w:i/>
        </w:rPr>
        <w:t xml:space="preserve">ygienic </w:t>
      </w:r>
      <w:r w:rsidR="007401DA">
        <w:rPr>
          <w:i/>
        </w:rPr>
        <w:t>P</w:t>
      </w:r>
      <w:r w:rsidRPr="00EB6243">
        <w:rPr>
          <w:i/>
        </w:rPr>
        <w:t xml:space="preserve">ractice for </w:t>
      </w:r>
      <w:r w:rsidR="007401DA">
        <w:rPr>
          <w:i/>
        </w:rPr>
        <w:t>P</w:t>
      </w:r>
      <w:r w:rsidRPr="00EB6243">
        <w:rPr>
          <w:i/>
        </w:rPr>
        <w:t xml:space="preserve">owdered </w:t>
      </w:r>
      <w:r w:rsidR="007401DA">
        <w:rPr>
          <w:i/>
        </w:rPr>
        <w:t>I</w:t>
      </w:r>
      <w:r w:rsidRPr="00EB6243">
        <w:rPr>
          <w:i/>
        </w:rPr>
        <w:t xml:space="preserve">nfant formulae for </w:t>
      </w:r>
      <w:r w:rsidR="007401DA">
        <w:rPr>
          <w:i/>
        </w:rPr>
        <w:t>I</w:t>
      </w:r>
      <w:r w:rsidRPr="00EB6243">
        <w:rPr>
          <w:i/>
        </w:rPr>
        <w:t xml:space="preserve">nfants and </w:t>
      </w:r>
      <w:r w:rsidR="007401DA">
        <w:rPr>
          <w:i/>
        </w:rPr>
        <w:t>Y</w:t>
      </w:r>
      <w:r w:rsidRPr="00EB6243">
        <w:rPr>
          <w:i/>
        </w:rPr>
        <w:t xml:space="preserve">oung </w:t>
      </w:r>
      <w:r w:rsidR="007401DA">
        <w:rPr>
          <w:i/>
        </w:rPr>
        <w:t>C</w:t>
      </w:r>
      <w:r w:rsidRPr="00EB6243">
        <w:rPr>
          <w:i/>
        </w:rPr>
        <w:t>hildren</w:t>
      </w:r>
      <w:r w:rsidRPr="00EB6243">
        <w:t xml:space="preserve"> </w:t>
      </w:r>
      <w:r w:rsidRPr="00EB6243">
        <w:rPr>
          <w:i/>
        </w:rPr>
        <w:t>(CAC/RCP 66 - 2008)</w:t>
      </w:r>
      <w:r w:rsidRPr="00EB6243">
        <w:t xml:space="preserve"> in response to the emergence of </w:t>
      </w:r>
      <w:r w:rsidRPr="00EB6243">
        <w:rPr>
          <w:i/>
        </w:rPr>
        <w:t>Cronobacter</w:t>
      </w:r>
      <w:r w:rsidRPr="00EB6243">
        <w:t xml:space="preserve"> species (referred to as </w:t>
      </w:r>
      <w:r w:rsidRPr="00EB6243">
        <w:rPr>
          <w:i/>
        </w:rPr>
        <w:t>Enterobacter sakazakii</w:t>
      </w:r>
      <w:r w:rsidRPr="00EB6243">
        <w:t xml:space="preserve"> prior to 2008) as an important pathogen for infants fed with powdered infant formula (PIF). The revised code introduced a set of microbiological criteria for </w:t>
      </w:r>
      <w:r w:rsidRPr="00EB6243">
        <w:rPr>
          <w:i/>
        </w:rPr>
        <w:t xml:space="preserve">Cronobacter </w:t>
      </w:r>
      <w:r w:rsidRPr="00EB6243">
        <w:t xml:space="preserve">spp. in PIF, and reconfirmed the application of a set of microbiological criteria for </w:t>
      </w:r>
      <w:r w:rsidRPr="00EB6243">
        <w:rPr>
          <w:i/>
        </w:rPr>
        <w:t>Salmonella</w:t>
      </w:r>
      <w:r w:rsidRPr="00EB6243">
        <w:t xml:space="preserve"> spp. in both PIF and follow-up formula (FUF). </w:t>
      </w:r>
    </w:p>
    <w:p w14:paraId="21439AC5" w14:textId="77777777" w:rsidR="00EB6243" w:rsidRPr="00EB6243" w:rsidRDefault="00EB6243" w:rsidP="00EB6243"/>
    <w:p w14:paraId="39954737" w14:textId="77777777" w:rsidR="00EB6243" w:rsidRPr="00EB6243" w:rsidRDefault="00EB6243" w:rsidP="00EB6243">
      <w:r w:rsidRPr="00EB6243">
        <w:t xml:space="preserve">Codex based these criteria on scientific advice and a risk assessment model undertaken by the Food and Agriculture Organization (FAO) and the World Health Organization (WHO) through a series of joint expert meetings. The expert consultations concluded that intrinsic contamination of powdered infant formula with </w:t>
      </w:r>
      <w:r w:rsidRPr="00EB6243">
        <w:rPr>
          <w:i/>
        </w:rPr>
        <w:t>E. sakazakii</w:t>
      </w:r>
      <w:r w:rsidRPr="00EB6243">
        <w:t xml:space="preserve"> (</w:t>
      </w:r>
      <w:r w:rsidRPr="00EB6243">
        <w:rPr>
          <w:i/>
        </w:rPr>
        <w:t>Cronobacter</w:t>
      </w:r>
      <w:r w:rsidRPr="00EB6243">
        <w:t xml:space="preserve"> spp.) and </w:t>
      </w:r>
      <w:r w:rsidRPr="00EB6243">
        <w:rPr>
          <w:i/>
        </w:rPr>
        <w:t>Salmonella</w:t>
      </w:r>
      <w:r w:rsidRPr="00EB6243">
        <w:t xml:space="preserve"> spp. had been a cause of infection and illness in infants, including severe disease which can lead to serious developmental sequelae and death. Although the rate of incidence was low, neonates and immunocompromised infants were at the greatest risk of </w:t>
      </w:r>
      <w:r w:rsidRPr="00EB6243">
        <w:rPr>
          <w:i/>
        </w:rPr>
        <w:t>Cronobacter</w:t>
      </w:r>
      <w:r w:rsidRPr="00EB6243">
        <w:t xml:space="preserve"> infection.</w:t>
      </w:r>
    </w:p>
    <w:p w14:paraId="2ED9E60B" w14:textId="77777777" w:rsidR="00EB6243" w:rsidRPr="00EB6243" w:rsidRDefault="00EB6243" w:rsidP="00EB6243"/>
    <w:p w14:paraId="69362F5E" w14:textId="55FD5745" w:rsidR="00A51BE9" w:rsidRPr="00EB6243" w:rsidRDefault="00EB6243" w:rsidP="00A51BE9">
      <w:r w:rsidRPr="00EB6243">
        <w:t>The FAO/WHO expert consultations identified the organisms of concern in infant formula and the relevant control measures throughout the food chain to reduce the risks for infants associated with consumption of infant formula. Guidance on how a microbiological criterion could be used to reduce relative risk was also considered in the expert consultations</w:t>
      </w:r>
      <w:r w:rsidR="00DA24D6">
        <w:t>. This was achieved</w:t>
      </w:r>
      <w:r w:rsidRPr="00EB6243">
        <w:t xml:space="preserve"> by providing examples of how effective</w:t>
      </w:r>
      <w:r w:rsidR="00DA24D6">
        <w:t>ly</w:t>
      </w:r>
      <w:r w:rsidRPr="00EB6243">
        <w:t xml:space="preserve"> different sampling plans are able to reject lots through detecting elevated levels of contamination and the corresponding predicted reduction in relative risk. </w:t>
      </w:r>
    </w:p>
    <w:p w14:paraId="366E6F7B" w14:textId="460F4489" w:rsidR="00D9175E" w:rsidRPr="00567AF1" w:rsidRDefault="00D3171B" w:rsidP="00567AF1">
      <w:pPr>
        <w:pStyle w:val="Heading2"/>
      </w:pPr>
      <w:bookmarkStart w:id="33" w:name="_Toc431997676"/>
      <w:r>
        <w:t>2</w:t>
      </w:r>
      <w:r w:rsidR="0045556F">
        <w:t>.</w:t>
      </w:r>
      <w:r w:rsidR="006F79EF">
        <w:t>2</w:t>
      </w:r>
      <w:r w:rsidR="00271F00">
        <w:tab/>
      </w:r>
      <w:bookmarkEnd w:id="29"/>
      <w:bookmarkEnd w:id="30"/>
      <w:bookmarkEnd w:id="31"/>
      <w:r w:rsidR="0045556F">
        <w:t>R</w:t>
      </w:r>
      <w:r w:rsidR="00707E72">
        <w:t>isk m</w:t>
      </w:r>
      <w:r w:rsidR="008A35FB">
        <w:t>anagement</w:t>
      </w:r>
      <w:bookmarkStart w:id="34" w:name="_Toc300761910"/>
      <w:bookmarkEnd w:id="33"/>
    </w:p>
    <w:p w14:paraId="0B636DA2" w14:textId="4DB8668E" w:rsidR="006F79EF" w:rsidRPr="00240A32" w:rsidRDefault="006F79EF" w:rsidP="00240A32">
      <w:pPr>
        <w:pStyle w:val="Heading3"/>
      </w:pPr>
      <w:bookmarkStart w:id="35" w:name="_Toc431997677"/>
      <w:r w:rsidRPr="00240A32">
        <w:t>2.2.1</w:t>
      </w:r>
      <w:r w:rsidR="00240A32" w:rsidRPr="00240A32">
        <w:tab/>
      </w:r>
      <w:r w:rsidRPr="00240A32">
        <w:t>Consultation paper</w:t>
      </w:r>
      <w:bookmarkEnd w:id="35"/>
    </w:p>
    <w:p w14:paraId="5A2EE223" w14:textId="77777777" w:rsidR="006F79EF" w:rsidRDefault="006F79EF" w:rsidP="006F79EF">
      <w:r>
        <w:t xml:space="preserve">In January 2015 FSANZ released a consultation paper, </w:t>
      </w:r>
      <w:r w:rsidRPr="00B24B5E">
        <w:rPr>
          <w:i/>
        </w:rPr>
        <w:t>Consultation Paper on Completing the Review of Microbiological Criteria</w:t>
      </w:r>
      <w:r>
        <w:t>, outlining and seeking comment on the approach and guiding principles for completing the review of Standard 1.6.1. FSANZ</w:t>
      </w:r>
      <w:r w:rsidRPr="00D14ADE">
        <w:t xml:space="preserve"> received 17 submissions</w:t>
      </w:r>
      <w:r>
        <w:t xml:space="preserve"> from</w:t>
      </w:r>
      <w:r w:rsidRPr="00D14ADE">
        <w:t xml:space="preserve"> </w:t>
      </w:r>
      <w:r>
        <w:t xml:space="preserve">various sectors </w:t>
      </w:r>
      <w:r w:rsidRPr="00D14ADE">
        <w:t xml:space="preserve">including </w:t>
      </w:r>
      <w:r>
        <w:t xml:space="preserve">from the </w:t>
      </w:r>
      <w:r w:rsidRPr="00D14ADE">
        <w:t>N</w:t>
      </w:r>
      <w:r>
        <w:t xml:space="preserve">ew </w:t>
      </w:r>
      <w:r w:rsidRPr="00D14ADE">
        <w:t>Z</w:t>
      </w:r>
      <w:r>
        <w:t>ealand</w:t>
      </w:r>
      <w:r w:rsidRPr="00D14ADE">
        <w:t xml:space="preserve"> </w:t>
      </w:r>
      <w:r>
        <w:t>Ministry for Primary Industries (</w:t>
      </w:r>
      <w:r w:rsidRPr="00D14ADE">
        <w:t>MPI</w:t>
      </w:r>
      <w:r>
        <w:t>)</w:t>
      </w:r>
      <w:r w:rsidRPr="00D14ADE">
        <w:t xml:space="preserve">, Australian jurisdictions, </w:t>
      </w:r>
      <w:r>
        <w:t>i</w:t>
      </w:r>
      <w:r w:rsidRPr="00D14ADE">
        <w:t xml:space="preserve">ndustry and industry groups and </w:t>
      </w:r>
      <w:r>
        <w:t>individuals</w:t>
      </w:r>
      <w:r w:rsidRPr="00D14ADE">
        <w:t>.</w:t>
      </w:r>
      <w:r>
        <w:t xml:space="preserve"> </w:t>
      </w:r>
      <w:r w:rsidRPr="00613777">
        <w:t>Those submissions are available on the FSANZ website</w:t>
      </w:r>
      <w:r w:rsidRPr="00613777">
        <w:rPr>
          <w:rStyle w:val="FootnoteReference"/>
        </w:rPr>
        <w:footnoteReference w:id="4"/>
      </w:r>
      <w:r w:rsidRPr="00613777">
        <w:t>.</w:t>
      </w:r>
    </w:p>
    <w:p w14:paraId="53A638FF" w14:textId="77777777" w:rsidR="006F79EF" w:rsidRDefault="006F79EF" w:rsidP="006F79EF"/>
    <w:p w14:paraId="2AE57823" w14:textId="6DD56328" w:rsidR="006F79EF" w:rsidRPr="00D14ADE" w:rsidRDefault="006F79EF" w:rsidP="006F79EF">
      <w:r>
        <w:t>The submissions received on the consultation paper supported that the review of microbiological limits for powdered infant formula products progress as a priority. Most submissions also supported</w:t>
      </w:r>
      <w:r w:rsidRPr="003C793A">
        <w:t xml:space="preserve"> </w:t>
      </w:r>
      <w:r>
        <w:t>the</w:t>
      </w:r>
      <w:r w:rsidRPr="00D14ADE">
        <w:t xml:space="preserve"> development of food safety criteria and process hygiene criteria</w:t>
      </w:r>
      <w:r>
        <w:t xml:space="preserve"> (discussed under Section 2.</w:t>
      </w:r>
      <w:r w:rsidR="006334AF">
        <w:t>2</w:t>
      </w:r>
      <w:r>
        <w:t>.</w:t>
      </w:r>
      <w:r w:rsidR="006334AF">
        <w:t>2</w:t>
      </w:r>
      <w:r>
        <w:t>.2)</w:t>
      </w:r>
      <w:r w:rsidRPr="00D14ADE">
        <w:t>, consistent wit</w:t>
      </w:r>
      <w:r>
        <w:t xml:space="preserve">h the Codex general principles. The assessment of P1039 will provide a model for the remaining review of microbiological limits. </w:t>
      </w:r>
    </w:p>
    <w:p w14:paraId="41D5E9E9" w14:textId="37626817" w:rsidR="0037182C" w:rsidRDefault="0037182C" w:rsidP="006F79EF">
      <w:pPr>
        <w:rPr>
          <w:lang w:eastAsia="en-AU" w:bidi="ar-SA"/>
        </w:rPr>
      </w:pPr>
      <w:r>
        <w:rPr>
          <w:lang w:eastAsia="en-AU" w:bidi="ar-SA"/>
        </w:rPr>
        <w:br w:type="page"/>
      </w:r>
    </w:p>
    <w:p w14:paraId="472947AD" w14:textId="6FEAC41F" w:rsidR="009A4602" w:rsidRPr="009A4602" w:rsidRDefault="00567AF1" w:rsidP="009A4602">
      <w:pPr>
        <w:pStyle w:val="Heading3"/>
      </w:pPr>
      <w:bookmarkStart w:id="36" w:name="_Toc431997678"/>
      <w:r w:rsidRPr="009A4602">
        <w:lastRenderedPageBreak/>
        <w:t>2.</w:t>
      </w:r>
      <w:r w:rsidR="006F79EF">
        <w:t>2</w:t>
      </w:r>
      <w:r w:rsidRPr="009A4602">
        <w:t>.</w:t>
      </w:r>
      <w:r w:rsidR="006F79EF">
        <w:t>2</w:t>
      </w:r>
      <w:r w:rsidR="009A4602">
        <w:tab/>
      </w:r>
      <w:r w:rsidR="007401DA">
        <w:t>Microbiological criteria framework</w:t>
      </w:r>
      <w:bookmarkEnd w:id="36"/>
      <w:r w:rsidR="007401DA">
        <w:t xml:space="preserve"> </w:t>
      </w:r>
    </w:p>
    <w:p w14:paraId="4D072729" w14:textId="1D35DAB2" w:rsidR="00A3600D" w:rsidRDefault="00A3600D" w:rsidP="00A3600D">
      <w:pPr>
        <w:pStyle w:val="Heading4"/>
      </w:pPr>
      <w:r>
        <w:t>2.</w:t>
      </w:r>
      <w:r w:rsidR="006F79EF">
        <w:t>2</w:t>
      </w:r>
      <w:r>
        <w:t>.</w:t>
      </w:r>
      <w:r w:rsidR="006F79EF">
        <w:t>2</w:t>
      </w:r>
      <w:r>
        <w:t>.1</w:t>
      </w:r>
      <w:r>
        <w:tab/>
        <w:t>Establishing microbiological criteria</w:t>
      </w:r>
    </w:p>
    <w:p w14:paraId="267632CD" w14:textId="77777777" w:rsidR="00A3600D" w:rsidRPr="007401DA" w:rsidRDefault="00A3600D" w:rsidP="00A3600D">
      <w:pPr>
        <w:rPr>
          <w:szCs w:val="22"/>
        </w:rPr>
      </w:pPr>
      <w:r>
        <w:t>Microbiological criteria are established to support decision making</w:t>
      </w:r>
      <w:r w:rsidRPr="00452AA5">
        <w:t xml:space="preserve"> about a food or process</w:t>
      </w:r>
      <w:r>
        <w:t xml:space="preserve"> following microbiological testing.</w:t>
      </w:r>
      <w:r w:rsidRPr="007F2AF1">
        <w:t xml:space="preserve"> </w:t>
      </w:r>
      <w:r>
        <w:t xml:space="preserve">FSANZ applies the Codex </w:t>
      </w:r>
      <w:r w:rsidRPr="00955284">
        <w:rPr>
          <w:i/>
        </w:rPr>
        <w:t>Principles and Guidelines for the Establishment and Application of Microbiological Criteria for Foods</w:t>
      </w:r>
      <w:r w:rsidRPr="00955284">
        <w:t xml:space="preserve"> </w:t>
      </w:r>
      <w:r w:rsidRPr="006B0614">
        <w:rPr>
          <w:sz w:val="20"/>
        </w:rPr>
        <w:t>(</w:t>
      </w:r>
      <w:r w:rsidRPr="00B24B5E">
        <w:rPr>
          <w:szCs w:val="22"/>
        </w:rPr>
        <w:t xml:space="preserve">CAC/GL 21 – 1997 [revised and renamed 2013]) </w:t>
      </w:r>
      <w:r w:rsidRPr="007401DA">
        <w:rPr>
          <w:szCs w:val="22"/>
        </w:rPr>
        <w:t>in establishing criteria. These principles include:</w:t>
      </w:r>
    </w:p>
    <w:p w14:paraId="1F87B353" w14:textId="77777777" w:rsidR="00A3600D" w:rsidRDefault="00A3600D" w:rsidP="00A3600D"/>
    <w:p w14:paraId="33F72A41" w14:textId="77777777" w:rsidR="00A3600D" w:rsidRPr="007F2AF1" w:rsidRDefault="00A3600D" w:rsidP="00A3600D">
      <w:pPr>
        <w:pStyle w:val="FSBullet1"/>
      </w:pPr>
      <w:r w:rsidRPr="007F2AF1">
        <w:t>A microbiological criterion should be appropriate to protect public health and where appropriate, also ensure fair practices in trade</w:t>
      </w:r>
      <w:r>
        <w:t>.</w:t>
      </w:r>
    </w:p>
    <w:p w14:paraId="2C1CD4CF" w14:textId="77777777" w:rsidR="00A3600D" w:rsidRPr="007F2AF1" w:rsidRDefault="00A3600D" w:rsidP="00A3600D">
      <w:pPr>
        <w:pStyle w:val="FSBullet1"/>
        <w:numPr>
          <w:ilvl w:val="0"/>
          <w:numId w:val="0"/>
        </w:numPr>
        <w:ind w:left="567"/>
      </w:pPr>
    </w:p>
    <w:p w14:paraId="691CD0D4" w14:textId="77777777" w:rsidR="00A3600D" w:rsidRDefault="00A3600D" w:rsidP="00A3600D">
      <w:pPr>
        <w:pStyle w:val="FSBullet1"/>
      </w:pPr>
      <w:r w:rsidRPr="007F2AF1">
        <w:t>A microbiological criterion should be practical and feasible and established only whe</w:t>
      </w:r>
      <w:r>
        <w:t>n</w:t>
      </w:r>
      <w:r w:rsidRPr="007F2AF1">
        <w:t xml:space="preserve"> necessary</w:t>
      </w:r>
      <w:r>
        <w:t>.</w:t>
      </w:r>
    </w:p>
    <w:p w14:paraId="118447BC" w14:textId="77777777" w:rsidR="00A3600D" w:rsidRPr="001B74F3" w:rsidRDefault="00A3600D" w:rsidP="00A3600D">
      <w:pPr>
        <w:rPr>
          <w:lang w:bidi="ar-SA"/>
        </w:rPr>
      </w:pPr>
    </w:p>
    <w:p w14:paraId="1AC0AE4C" w14:textId="77777777" w:rsidR="00A3600D" w:rsidRPr="001B74F3" w:rsidRDefault="00A3600D" w:rsidP="00A3600D">
      <w:pPr>
        <w:pStyle w:val="FSBullet"/>
        <w:rPr>
          <w:lang w:bidi="ar-SA"/>
        </w:rPr>
      </w:pPr>
      <w:r w:rsidRPr="001B74F3">
        <w:rPr>
          <w:lang w:bidi="ar-SA"/>
        </w:rPr>
        <w:t xml:space="preserve">The purpose of establishing and applying a microbiological criterion should be clearly articulated. </w:t>
      </w:r>
    </w:p>
    <w:p w14:paraId="6CEB5985" w14:textId="77777777" w:rsidR="00A3600D" w:rsidRPr="001B74F3" w:rsidRDefault="00A3600D" w:rsidP="00A3600D">
      <w:pPr>
        <w:rPr>
          <w:lang w:bidi="ar-SA"/>
        </w:rPr>
      </w:pPr>
    </w:p>
    <w:p w14:paraId="1BD64133" w14:textId="77777777" w:rsidR="00A3600D" w:rsidRDefault="00A3600D" w:rsidP="00A3600D">
      <w:pPr>
        <w:pStyle w:val="FSBullet"/>
      </w:pPr>
      <w:r w:rsidRPr="001B74F3">
        <w:t xml:space="preserve">The establishment of microbiological criteria should be based on scientific information and analysis and follow a structured and transparent approach. </w:t>
      </w:r>
    </w:p>
    <w:p w14:paraId="058FFB00" w14:textId="77777777" w:rsidR="00A3600D" w:rsidRDefault="00A3600D" w:rsidP="00A3600D">
      <w:pPr>
        <w:pStyle w:val="FSBullet"/>
        <w:numPr>
          <w:ilvl w:val="0"/>
          <w:numId w:val="0"/>
        </w:numPr>
        <w:ind w:left="567"/>
      </w:pPr>
    </w:p>
    <w:p w14:paraId="7F9CEEAF" w14:textId="77777777" w:rsidR="00A3600D" w:rsidRDefault="00A3600D" w:rsidP="00A3600D">
      <w:pPr>
        <w:pStyle w:val="FSBullet"/>
      </w:pPr>
      <w:r w:rsidRPr="001B74F3">
        <w:t>Microbiological criteria should be established based on knowledge of the microorganisms and their occurrence and behaviour along the food chain.</w:t>
      </w:r>
    </w:p>
    <w:p w14:paraId="427DBEEA" w14:textId="77777777" w:rsidR="00A3600D" w:rsidRPr="001B74F3" w:rsidRDefault="00A3600D" w:rsidP="00A3600D">
      <w:pPr>
        <w:pStyle w:val="FSBullet"/>
        <w:numPr>
          <w:ilvl w:val="0"/>
          <w:numId w:val="0"/>
        </w:numPr>
        <w:ind w:left="567"/>
      </w:pPr>
    </w:p>
    <w:p w14:paraId="6D11DCEA" w14:textId="77777777" w:rsidR="00A3600D" w:rsidRDefault="00A3600D" w:rsidP="00A3600D">
      <w:pPr>
        <w:pStyle w:val="FSBullet"/>
      </w:pPr>
      <w:r w:rsidRPr="001B74F3">
        <w:t xml:space="preserve">The intended as well as the actual use of the final product by consumers needs to be considered when setting a microbiological criterion. </w:t>
      </w:r>
    </w:p>
    <w:p w14:paraId="6154E8E7" w14:textId="77777777" w:rsidR="00A3600D" w:rsidRPr="001B74F3" w:rsidRDefault="00A3600D" w:rsidP="00A3600D">
      <w:pPr>
        <w:pStyle w:val="FSBullet"/>
        <w:numPr>
          <w:ilvl w:val="0"/>
          <w:numId w:val="0"/>
        </w:numPr>
        <w:ind w:left="567"/>
      </w:pPr>
    </w:p>
    <w:p w14:paraId="1177D557" w14:textId="77777777" w:rsidR="00A3600D" w:rsidRPr="001B74F3" w:rsidRDefault="00A3600D" w:rsidP="00A3600D">
      <w:pPr>
        <w:pStyle w:val="FSBullet"/>
      </w:pPr>
      <w:r w:rsidRPr="001B74F3">
        <w:t xml:space="preserve">The required stringency of a microbiological criterion used should be appropriate to its intended purpose. </w:t>
      </w:r>
    </w:p>
    <w:p w14:paraId="3D4021E7" w14:textId="77777777" w:rsidR="00A3600D" w:rsidRDefault="00A3600D" w:rsidP="00A3600D"/>
    <w:p w14:paraId="606176B4" w14:textId="77777777" w:rsidR="00A3600D" w:rsidRDefault="00A3600D" w:rsidP="00A3600D">
      <w:r>
        <w:t>Each microbiological criterion</w:t>
      </w:r>
      <w:r w:rsidRPr="00331E2B">
        <w:t xml:space="preserve"> </w:t>
      </w:r>
      <w:r>
        <w:t>should include the following components:</w:t>
      </w:r>
    </w:p>
    <w:p w14:paraId="1613C4CA" w14:textId="77777777" w:rsidR="00A3600D" w:rsidRDefault="00A3600D" w:rsidP="00A3600D">
      <w:pPr>
        <w:pStyle w:val="FSBullet1"/>
        <w:numPr>
          <w:ilvl w:val="0"/>
          <w:numId w:val="0"/>
        </w:numPr>
      </w:pPr>
    </w:p>
    <w:p w14:paraId="0F71345B" w14:textId="77777777" w:rsidR="00A3600D" w:rsidRDefault="00A3600D" w:rsidP="00A3600D">
      <w:pPr>
        <w:pStyle w:val="FSBullet1"/>
      </w:pPr>
      <w:r>
        <w:t xml:space="preserve">the purpose of the microbiological criterion </w:t>
      </w:r>
    </w:p>
    <w:p w14:paraId="04F238AA" w14:textId="77777777" w:rsidR="00A3600D" w:rsidRDefault="00A3600D" w:rsidP="00A3600D">
      <w:pPr>
        <w:pStyle w:val="FSBullet1"/>
      </w:pPr>
      <w:r>
        <w:t xml:space="preserve">the food or process to which it applies </w:t>
      </w:r>
    </w:p>
    <w:p w14:paraId="5B748EAC" w14:textId="2F4CE739" w:rsidR="00A3600D" w:rsidRPr="004D187E" w:rsidRDefault="00A3600D" w:rsidP="00A3600D">
      <w:pPr>
        <w:pStyle w:val="FSBullet1"/>
      </w:pPr>
      <w:r>
        <w:rPr>
          <w:rFonts w:cs="Times New Roman"/>
        </w:rPr>
        <w:t>t</w:t>
      </w:r>
      <w:r w:rsidRPr="004D187E">
        <w:rPr>
          <w:rFonts w:cs="Times New Roman"/>
        </w:rPr>
        <w:t xml:space="preserve">he specified point in the food chain where </w:t>
      </w:r>
      <w:r>
        <w:rPr>
          <w:rFonts w:cs="Times New Roman"/>
        </w:rPr>
        <w:t>it</w:t>
      </w:r>
      <w:r w:rsidRPr="004D187E">
        <w:rPr>
          <w:rFonts w:cs="Times New Roman"/>
        </w:rPr>
        <w:t xml:space="preserve"> applies</w:t>
      </w:r>
    </w:p>
    <w:p w14:paraId="2192502D" w14:textId="77777777" w:rsidR="00A3600D" w:rsidRDefault="00A3600D" w:rsidP="00A3600D">
      <w:pPr>
        <w:pStyle w:val="FSBullet1"/>
      </w:pPr>
      <w:r>
        <w:t>the microorganism of concern or its toxin/metabolite</w:t>
      </w:r>
    </w:p>
    <w:p w14:paraId="051A9336" w14:textId="77777777" w:rsidR="00A3600D" w:rsidRDefault="00A3600D" w:rsidP="00A3600D">
      <w:pPr>
        <w:pStyle w:val="FSBullet1"/>
      </w:pPr>
      <w:r>
        <w:t>t</w:t>
      </w:r>
      <w:r w:rsidRPr="00331E2B">
        <w:t>he microbiological limits considered appropriate to the food at the specified point(s) of the food chain</w:t>
      </w:r>
    </w:p>
    <w:p w14:paraId="678E2F52" w14:textId="77777777" w:rsidR="00A3600D" w:rsidRDefault="00A3600D" w:rsidP="00A3600D">
      <w:pPr>
        <w:pStyle w:val="FSBullet1"/>
      </w:pPr>
      <w:r>
        <w:t>a sampling plan (</w:t>
      </w:r>
      <w:r w:rsidRPr="00331E2B">
        <w:t>the number of samples to be taken</w:t>
      </w:r>
      <w:r>
        <w:t xml:space="preserve">; </w:t>
      </w:r>
      <w:r w:rsidRPr="00331E2B">
        <w:t>the size of the analytical unit;</w:t>
      </w:r>
      <w:r>
        <w:t xml:space="preserve"> </w:t>
      </w:r>
      <w:r w:rsidRPr="00331E2B">
        <w:t>the number of analytical units that should conform to the limits</w:t>
      </w:r>
      <w:r>
        <w:t xml:space="preserve"> specified)</w:t>
      </w:r>
    </w:p>
    <w:p w14:paraId="54BA392D" w14:textId="77777777" w:rsidR="00A3600D" w:rsidRDefault="00A3600D" w:rsidP="00A3600D">
      <w:pPr>
        <w:pStyle w:val="FSBullet1"/>
      </w:pPr>
      <w:r>
        <w:t>the method of analysis and its sensitivity.</w:t>
      </w:r>
    </w:p>
    <w:p w14:paraId="07304BC4" w14:textId="77777777" w:rsidR="00A3600D" w:rsidRDefault="00A3600D" w:rsidP="00A3600D">
      <w:pPr>
        <w:rPr>
          <w:lang w:bidi="ar-SA"/>
        </w:rPr>
      </w:pPr>
    </w:p>
    <w:p w14:paraId="62D75E91" w14:textId="7309E41B" w:rsidR="00A3600D" w:rsidRDefault="00B70BE7" w:rsidP="00A3600D">
      <w:pPr>
        <w:rPr>
          <w:rFonts w:eastAsia="+mn-ea"/>
          <w:lang w:eastAsia="en-GB"/>
        </w:rPr>
      </w:pPr>
      <w:r>
        <w:rPr>
          <w:rFonts w:eastAsia="+mn-ea"/>
          <w:lang w:eastAsia="en-GB"/>
        </w:rPr>
        <w:t>Additionally, a criterion</w:t>
      </w:r>
      <w:r w:rsidR="00A3600D">
        <w:rPr>
          <w:rFonts w:eastAsia="+mn-ea"/>
          <w:lang w:eastAsia="en-GB"/>
        </w:rPr>
        <w:t xml:space="preserve"> should also </w:t>
      </w:r>
      <w:r>
        <w:rPr>
          <w:rFonts w:eastAsia="+mn-ea"/>
          <w:lang w:eastAsia="en-GB"/>
        </w:rPr>
        <w:t>include</w:t>
      </w:r>
      <w:r w:rsidR="00A3600D">
        <w:rPr>
          <w:rFonts w:eastAsia="+mn-ea"/>
          <w:lang w:eastAsia="en-GB"/>
        </w:rPr>
        <w:t xml:space="preserve"> a statement </w:t>
      </w:r>
      <w:r w:rsidR="00A3600D" w:rsidDel="004365ED">
        <w:rPr>
          <w:rFonts w:eastAsia="+mn-ea"/>
          <w:lang w:eastAsia="en-GB"/>
        </w:rPr>
        <w:t xml:space="preserve">of </w:t>
      </w:r>
      <w:r w:rsidR="00A3600D">
        <w:rPr>
          <w:rFonts w:eastAsia="+mn-ea"/>
          <w:lang w:eastAsia="en-GB"/>
        </w:rPr>
        <w:t xml:space="preserve">the corrective actions to be taken </w:t>
      </w:r>
      <w:r w:rsidR="00A3600D" w:rsidRPr="00A3600D">
        <w:rPr>
          <w:rFonts w:eastAsia="+mn-ea"/>
          <w:lang w:eastAsia="en-GB"/>
        </w:rPr>
        <w:t>when limits are not met (e.g. rejection of a lot or adjustment of process)</w:t>
      </w:r>
      <w:r w:rsidR="00A3600D">
        <w:rPr>
          <w:rFonts w:eastAsia="+mn-ea"/>
          <w:lang w:eastAsia="en-GB"/>
        </w:rPr>
        <w:t>.</w:t>
      </w:r>
      <w:r w:rsidR="00A3600D" w:rsidRPr="00A3600D">
        <w:rPr>
          <w:rFonts w:eastAsia="+mn-ea"/>
          <w:lang w:eastAsia="en-GB"/>
        </w:rPr>
        <w:t xml:space="preserve">  </w:t>
      </w:r>
    </w:p>
    <w:p w14:paraId="4C0E94B3" w14:textId="3351D810" w:rsidR="00567AF1" w:rsidRDefault="009A4602" w:rsidP="00A3600D">
      <w:pPr>
        <w:pStyle w:val="Heading4"/>
      </w:pPr>
      <w:r>
        <w:t>2.</w:t>
      </w:r>
      <w:r w:rsidR="006F79EF">
        <w:t>2</w:t>
      </w:r>
      <w:r>
        <w:t>.</w:t>
      </w:r>
      <w:r w:rsidR="006F79EF">
        <w:t>2</w:t>
      </w:r>
      <w:r>
        <w:t>.</w:t>
      </w:r>
      <w:r w:rsidR="00A3600D">
        <w:t>2</w:t>
      </w:r>
      <w:r w:rsidR="006528AF">
        <w:tab/>
      </w:r>
      <w:r w:rsidR="00567AF1">
        <w:t>The use of microbiological criteria in food safety management</w:t>
      </w:r>
    </w:p>
    <w:p w14:paraId="532AAA02" w14:textId="628204F4" w:rsidR="0071595D" w:rsidRDefault="00E028C7" w:rsidP="0071595D">
      <w:r>
        <w:t>M</w:t>
      </w:r>
      <w:r w:rsidR="0071595D" w:rsidRPr="0071595D">
        <w:t xml:space="preserve">icrobiological food safety management has moved from a reactive approach based on inspection and compliance with end product testing to a preventative approach where control measures are implemented by industry throughout the food chain. </w:t>
      </w:r>
      <w:r w:rsidR="00B359DD">
        <w:t>The role of microbiological testing in this context may fit different purposes as defined by the microbiological criteria applied.</w:t>
      </w:r>
    </w:p>
    <w:p w14:paraId="1FF7B659" w14:textId="77777777" w:rsidR="00567AF1" w:rsidRPr="0071595D" w:rsidRDefault="00567AF1" w:rsidP="0071595D"/>
    <w:p w14:paraId="2FC46A10" w14:textId="77777777" w:rsidR="0037182C" w:rsidRDefault="0037182C" w:rsidP="00BF70AB">
      <w:r>
        <w:br w:type="page"/>
      </w:r>
    </w:p>
    <w:p w14:paraId="3AB390C7" w14:textId="651D4A9E" w:rsidR="00BF70AB" w:rsidRPr="0071595D" w:rsidRDefault="0071595D" w:rsidP="00BF70AB">
      <w:pPr>
        <w:rPr>
          <w:b/>
        </w:rPr>
      </w:pPr>
      <w:r w:rsidRPr="0071595D">
        <w:lastRenderedPageBreak/>
        <w:t xml:space="preserve">Internationally, the Codex Alimentarius and the International Commission on Microbiological Specifications for Foods (ICMSF) have provided the lead on contemporary food safety management approaches and the application of microbiological criteria. </w:t>
      </w:r>
      <w:r>
        <w:t xml:space="preserve">An important </w:t>
      </w:r>
      <w:r w:rsidRPr="0071595D">
        <w:t>principle is that a microbiological criterion is established at a specified point in the food chain for a particular purpose. In general this is either to establish the safety of a food or to verify that the food safety control system or elements of it are working as</w:t>
      </w:r>
      <w:r w:rsidR="00567AF1">
        <w:t xml:space="preserve"> intended. </w:t>
      </w:r>
      <w:r w:rsidR="00BF70AB" w:rsidRPr="0071595D">
        <w:t>The terms food safety criteria and process hygiene criteria have been used internationally to differentiate the intended purpose of specific criteria</w:t>
      </w:r>
      <w:r w:rsidR="00567AF1">
        <w:t xml:space="preserve">. </w:t>
      </w:r>
      <w:r w:rsidR="00BF70AB" w:rsidRPr="0071595D">
        <w:t xml:space="preserve"> </w:t>
      </w:r>
    </w:p>
    <w:p w14:paraId="10A00B08" w14:textId="77777777" w:rsidR="00BF70AB" w:rsidRDefault="00BF70AB" w:rsidP="0071595D"/>
    <w:p w14:paraId="479F1A96" w14:textId="32D0B128" w:rsidR="00567AF1" w:rsidRDefault="00BF70AB" w:rsidP="00BF70AB">
      <w:r w:rsidRPr="00BF70AB">
        <w:t>FSANZ</w:t>
      </w:r>
      <w:r w:rsidR="00567AF1">
        <w:t>’s</w:t>
      </w:r>
      <w:r w:rsidRPr="00BF70AB">
        <w:t xml:space="preserve"> risk management approach is </w:t>
      </w:r>
      <w:r w:rsidR="00567AF1">
        <w:t>to establish</w:t>
      </w:r>
      <w:r w:rsidRPr="00BF70AB">
        <w:t xml:space="preserve"> microbiological criteria as either</w:t>
      </w:r>
      <w:r w:rsidR="00567AF1">
        <w:t>:</w:t>
      </w:r>
    </w:p>
    <w:p w14:paraId="712CCEDC" w14:textId="77777777" w:rsidR="00527873" w:rsidRDefault="00527873" w:rsidP="00BF70AB"/>
    <w:p w14:paraId="2EF315DC" w14:textId="30FF88CA" w:rsidR="00527873" w:rsidRDefault="00BF70AB" w:rsidP="00567AF1">
      <w:pPr>
        <w:pStyle w:val="FSBullet"/>
      </w:pPr>
      <w:r w:rsidRPr="00BF70AB">
        <w:rPr>
          <w:b/>
        </w:rPr>
        <w:t>food safety criteria</w:t>
      </w:r>
      <w:r w:rsidRPr="00BF70AB">
        <w:t xml:space="preserve"> (</w:t>
      </w:r>
      <w:r w:rsidR="00567AF1">
        <w:t xml:space="preserve">included in the Code and </w:t>
      </w:r>
      <w:r w:rsidRPr="00BF70AB">
        <w:t xml:space="preserve">applied to determine the safety of a </w:t>
      </w:r>
      <w:r w:rsidR="00527873">
        <w:t xml:space="preserve">food </w:t>
      </w:r>
      <w:r w:rsidRPr="00BF70AB">
        <w:t>lot) or</w:t>
      </w:r>
    </w:p>
    <w:p w14:paraId="045181F6" w14:textId="3E9A6D71" w:rsidR="00567AF1" w:rsidRDefault="00BF70AB" w:rsidP="00527873">
      <w:pPr>
        <w:pStyle w:val="FSBullet"/>
        <w:numPr>
          <w:ilvl w:val="0"/>
          <w:numId w:val="0"/>
        </w:numPr>
        <w:ind w:left="567"/>
      </w:pPr>
      <w:r w:rsidRPr="00BF70AB">
        <w:t xml:space="preserve"> </w:t>
      </w:r>
    </w:p>
    <w:p w14:paraId="0B8F99B3" w14:textId="102628B9" w:rsidR="00BF70AB" w:rsidRPr="00BF70AB" w:rsidRDefault="00BF70AB" w:rsidP="00567AF1">
      <w:pPr>
        <w:pStyle w:val="FSBullet"/>
      </w:pPr>
      <w:r w:rsidRPr="00BF70AB">
        <w:rPr>
          <w:b/>
        </w:rPr>
        <w:t>process hygiene criteria</w:t>
      </w:r>
      <w:r w:rsidRPr="00BF70AB">
        <w:t xml:space="preserve"> (</w:t>
      </w:r>
      <w:r w:rsidR="00567AF1">
        <w:t>provided in guidance an</w:t>
      </w:r>
      <w:r w:rsidR="00013EB6">
        <w:t>d</w:t>
      </w:r>
      <w:r w:rsidR="00567AF1">
        <w:t xml:space="preserve"> </w:t>
      </w:r>
      <w:r w:rsidRPr="00BF70AB">
        <w:t>applied to verify hygiene measures</w:t>
      </w:r>
      <w:r w:rsidR="00567AF1">
        <w:t xml:space="preserve"> or </w:t>
      </w:r>
      <w:r w:rsidRPr="00BF70AB">
        <w:t xml:space="preserve">control of process). </w:t>
      </w:r>
    </w:p>
    <w:p w14:paraId="66D3DA37" w14:textId="77777777" w:rsidR="00BF70AB" w:rsidRDefault="00BF70AB" w:rsidP="0071595D"/>
    <w:p w14:paraId="19D41DAF" w14:textId="364BD95F" w:rsidR="001C646D" w:rsidRPr="00BF70AB" w:rsidRDefault="00527873" w:rsidP="001C646D">
      <w:r>
        <w:t xml:space="preserve">Together these microbiological criteria </w:t>
      </w:r>
      <w:r w:rsidR="001C646D" w:rsidRPr="00BF70AB">
        <w:t>should provide a “fit for purpose” suite of decision criteria appropriate to the microbiological testing needed to</w:t>
      </w:r>
      <w:r w:rsidR="001C646D">
        <w:t xml:space="preserve"> support the safe production of a food as depicted below.</w:t>
      </w:r>
      <w:r w:rsidR="001C646D" w:rsidRPr="00BF70AB">
        <w:t xml:space="preserve"> </w:t>
      </w:r>
    </w:p>
    <w:p w14:paraId="6867658A" w14:textId="77777777" w:rsidR="00BF70AB" w:rsidRDefault="00BF70AB" w:rsidP="0071595D"/>
    <w:p w14:paraId="4DD48F22" w14:textId="21F49A83" w:rsidR="00567AF1" w:rsidRDefault="00567AF1" w:rsidP="00527873">
      <w:pPr>
        <w:jc w:val="center"/>
      </w:pPr>
      <w:r w:rsidRPr="00567AF1">
        <w:rPr>
          <w:rFonts w:ascii="Calibri" w:hAnsi="Calibri"/>
          <w:b/>
          <w:noProof/>
          <w:sz w:val="24"/>
          <w:szCs w:val="22"/>
          <w:lang w:eastAsia="en-GB" w:bidi="ar-SA"/>
        </w:rPr>
        <w:drawing>
          <wp:inline distT="0" distB="0" distL="0" distR="0" wp14:anchorId="3FD85B4C" wp14:editId="27A62F01">
            <wp:extent cx="4572000" cy="3366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3260" cy="3367018"/>
                    </a:xfrm>
                    <a:prstGeom prst="rect">
                      <a:avLst/>
                    </a:prstGeom>
                    <a:noFill/>
                  </pic:spPr>
                </pic:pic>
              </a:graphicData>
            </a:graphic>
          </wp:inline>
        </w:drawing>
      </w:r>
    </w:p>
    <w:p w14:paraId="1B4DBD64" w14:textId="23FFC9E2" w:rsidR="006528AF" w:rsidRPr="009C1096" w:rsidRDefault="006528AF" w:rsidP="006528AF">
      <w:pPr>
        <w:pStyle w:val="Heading4"/>
      </w:pPr>
      <w:r>
        <w:t>2.</w:t>
      </w:r>
      <w:r w:rsidR="006F79EF">
        <w:t>2</w:t>
      </w:r>
      <w:r>
        <w:t>.</w:t>
      </w:r>
      <w:r w:rsidR="006F79EF">
        <w:t>2</w:t>
      </w:r>
      <w:r>
        <w:t>.3</w:t>
      </w:r>
      <w:r>
        <w:tab/>
      </w:r>
      <w:r w:rsidRPr="009C1096">
        <w:t>Codex Alimentarius</w:t>
      </w:r>
    </w:p>
    <w:p w14:paraId="6F1F4175" w14:textId="7B9C9932" w:rsidR="005D1986" w:rsidRDefault="000C1B4A" w:rsidP="006528AF">
      <w:r>
        <w:t xml:space="preserve">The Codex Committee on Food Hygiene (CCFH) </w:t>
      </w:r>
      <w:r w:rsidR="006528AF" w:rsidRPr="0022298B">
        <w:t>has a role in recommending microbiologica</w:t>
      </w:r>
      <w:r w:rsidR="006528AF">
        <w:t>l criteria at the international</w:t>
      </w:r>
      <w:r>
        <w:t xml:space="preserve"> l</w:t>
      </w:r>
      <w:r w:rsidR="006528AF" w:rsidRPr="0022298B">
        <w:t>evel</w:t>
      </w:r>
      <w:r>
        <w:t xml:space="preserve">. </w:t>
      </w:r>
      <w:r w:rsidR="006528AF" w:rsidRPr="0022298B">
        <w:t>National governments</w:t>
      </w:r>
      <w:r w:rsidR="006528AF">
        <w:t xml:space="preserve"> </w:t>
      </w:r>
      <w:r w:rsidR="006528AF" w:rsidRPr="0022298B">
        <w:t>may choose to adopt Codex microbiological criteria into their national systems or use them as a starting point for addressing</w:t>
      </w:r>
      <w:r w:rsidR="006528AF">
        <w:t xml:space="preserve"> </w:t>
      </w:r>
      <w:r w:rsidR="006528AF" w:rsidRPr="0022298B">
        <w:t>their intended public health goals.</w:t>
      </w:r>
      <w:r w:rsidR="008F4C67">
        <w:t xml:space="preserve"> The ICMSF</w:t>
      </w:r>
      <w:r w:rsidR="00933F23">
        <w:t xml:space="preserve"> </w:t>
      </w:r>
      <w:r w:rsidR="005D1986">
        <w:t>has been instrumental in introducing the concepts and principles that Codex has developed.</w:t>
      </w:r>
    </w:p>
    <w:p w14:paraId="15B6A02F" w14:textId="30261EFA" w:rsidR="00CD776B" w:rsidRPr="005D1986" w:rsidRDefault="00CD776B" w:rsidP="00D9175E"/>
    <w:p w14:paraId="74550E72" w14:textId="77777777" w:rsidR="0037182C" w:rsidRDefault="008746E4" w:rsidP="008746E4">
      <w:pPr>
        <w:rPr>
          <w:szCs w:val="20"/>
        </w:rPr>
      </w:pPr>
      <w:r w:rsidRPr="008746E4">
        <w:rPr>
          <w:szCs w:val="20"/>
        </w:rPr>
        <w:t xml:space="preserve">Internationally agreed </w:t>
      </w:r>
      <w:r w:rsidR="002840C6">
        <w:rPr>
          <w:szCs w:val="20"/>
        </w:rPr>
        <w:t xml:space="preserve">microbiological criteria </w:t>
      </w:r>
      <w:r w:rsidRPr="008746E4">
        <w:rPr>
          <w:szCs w:val="20"/>
        </w:rPr>
        <w:t>have been established for powdered infant formula by Codex</w:t>
      </w:r>
      <w:r>
        <w:rPr>
          <w:szCs w:val="20"/>
        </w:rPr>
        <w:t xml:space="preserve"> and included in the</w:t>
      </w:r>
      <w:r w:rsidRPr="008746E4">
        <w:rPr>
          <w:szCs w:val="20"/>
        </w:rPr>
        <w:t xml:space="preserve"> Codex </w:t>
      </w:r>
      <w:r w:rsidRPr="008746E4">
        <w:rPr>
          <w:i/>
          <w:szCs w:val="20"/>
        </w:rPr>
        <w:t>Code of Hygienic Practice for Powdered Formulae for Infants and Young Children</w:t>
      </w:r>
      <w:r w:rsidRPr="008746E4">
        <w:rPr>
          <w:szCs w:val="20"/>
        </w:rPr>
        <w:t xml:space="preserve"> (CAC/RCP 66-2008)</w:t>
      </w:r>
      <w:r>
        <w:rPr>
          <w:szCs w:val="20"/>
        </w:rPr>
        <w:t>.</w:t>
      </w:r>
      <w:r w:rsidRPr="008746E4">
        <w:rPr>
          <w:szCs w:val="20"/>
        </w:rPr>
        <w:t xml:space="preserve"> </w:t>
      </w:r>
      <w:r w:rsidR="0037182C">
        <w:rPr>
          <w:szCs w:val="20"/>
        </w:rPr>
        <w:br w:type="page"/>
      </w:r>
    </w:p>
    <w:p w14:paraId="09519147" w14:textId="6D0F058E" w:rsidR="008746E4" w:rsidRPr="008746E4" w:rsidRDefault="008746E4" w:rsidP="008746E4">
      <w:pPr>
        <w:rPr>
          <w:szCs w:val="20"/>
        </w:rPr>
      </w:pPr>
      <w:r>
        <w:rPr>
          <w:szCs w:val="20"/>
        </w:rPr>
        <w:lastRenderedPageBreak/>
        <w:t xml:space="preserve">These include food safety criteria for </w:t>
      </w:r>
      <w:r w:rsidRPr="008746E4">
        <w:rPr>
          <w:i/>
          <w:szCs w:val="20"/>
        </w:rPr>
        <w:t>Salmonella</w:t>
      </w:r>
      <w:r>
        <w:rPr>
          <w:szCs w:val="20"/>
        </w:rPr>
        <w:t xml:space="preserve"> and</w:t>
      </w:r>
      <w:r w:rsidRPr="008746E4">
        <w:rPr>
          <w:rFonts w:asciiTheme="minorHAnsi" w:eastAsia="Calibri" w:hAnsiTheme="minorHAnsi"/>
          <w:szCs w:val="22"/>
          <w:lang w:bidi="ar-SA"/>
        </w:rPr>
        <w:t xml:space="preserve"> </w:t>
      </w:r>
      <w:r w:rsidR="00870C1D" w:rsidRPr="00870C1D">
        <w:rPr>
          <w:i/>
          <w:szCs w:val="20"/>
        </w:rPr>
        <w:t>Cronobacter</w:t>
      </w:r>
      <w:r>
        <w:rPr>
          <w:szCs w:val="20"/>
        </w:rPr>
        <w:t xml:space="preserve"> and process hygiene criteria for</w:t>
      </w:r>
      <w:r w:rsidRPr="008746E4">
        <w:rPr>
          <w:szCs w:val="20"/>
        </w:rPr>
        <w:t xml:space="preserve"> Enterobacteriacea a</w:t>
      </w:r>
      <w:r w:rsidR="002840C6">
        <w:rPr>
          <w:szCs w:val="20"/>
        </w:rPr>
        <w:t>nd Mesophilic Aerobic Bacteria</w:t>
      </w:r>
      <w:r w:rsidR="00677A75">
        <w:rPr>
          <w:szCs w:val="20"/>
        </w:rPr>
        <w:t xml:space="preserve"> (MAB)</w:t>
      </w:r>
      <w:r w:rsidR="002840C6">
        <w:rPr>
          <w:szCs w:val="20"/>
        </w:rPr>
        <w:t xml:space="preserve">. </w:t>
      </w:r>
      <w:r w:rsidR="000B7DE4">
        <w:rPr>
          <w:szCs w:val="20"/>
        </w:rPr>
        <w:t>A change from coliforms to Enterobacteriac</w:t>
      </w:r>
      <w:r w:rsidR="00A756AD">
        <w:rPr>
          <w:szCs w:val="20"/>
        </w:rPr>
        <w:t>e</w:t>
      </w:r>
      <w:r w:rsidR="000B7DE4">
        <w:rPr>
          <w:szCs w:val="20"/>
        </w:rPr>
        <w:t xml:space="preserve">a </w:t>
      </w:r>
      <w:r w:rsidR="00580EC5">
        <w:rPr>
          <w:szCs w:val="20"/>
        </w:rPr>
        <w:t xml:space="preserve">as a better defined group </w:t>
      </w:r>
      <w:r w:rsidR="000B7DE4">
        <w:rPr>
          <w:szCs w:val="20"/>
        </w:rPr>
        <w:t>was recommended based on the outcomes of the FAO/WHO expert meetings.</w:t>
      </w:r>
    </w:p>
    <w:p w14:paraId="1A2BE48C" w14:textId="7F14C40D" w:rsidR="00CD776B" w:rsidRDefault="00725C06" w:rsidP="00725C06">
      <w:pPr>
        <w:pStyle w:val="Heading3"/>
      </w:pPr>
      <w:bookmarkStart w:id="37" w:name="_Toc431997679"/>
      <w:r>
        <w:t>2.</w:t>
      </w:r>
      <w:r w:rsidR="006334AF">
        <w:t>2</w:t>
      </w:r>
      <w:r>
        <w:t>.</w:t>
      </w:r>
      <w:r w:rsidR="006334AF">
        <w:t>3</w:t>
      </w:r>
      <w:r>
        <w:t xml:space="preserve"> </w:t>
      </w:r>
      <w:r w:rsidR="004B681D">
        <w:tab/>
      </w:r>
      <w:r>
        <w:t>Powdered infant formula</w:t>
      </w:r>
      <w:bookmarkEnd w:id="37"/>
    </w:p>
    <w:p w14:paraId="17AB65F9" w14:textId="24D89567" w:rsidR="00BA6AB5" w:rsidRDefault="00BA6AB5" w:rsidP="00BA6AB5">
      <w:pPr>
        <w:pStyle w:val="Heading4"/>
      </w:pPr>
      <w:r>
        <w:t>2.</w:t>
      </w:r>
      <w:r w:rsidR="006334AF">
        <w:t>2</w:t>
      </w:r>
      <w:r>
        <w:t>.</w:t>
      </w:r>
      <w:r w:rsidR="006334AF">
        <w:t>3</w:t>
      </w:r>
      <w:r>
        <w:t>.1</w:t>
      </w:r>
      <w:r w:rsidR="00DA24D6">
        <w:tab/>
      </w:r>
      <w:r>
        <w:t>Food safety management</w:t>
      </w:r>
    </w:p>
    <w:p w14:paraId="481E8B2E" w14:textId="4E4DC3E2" w:rsidR="008A16A5" w:rsidRDefault="007B5F39" w:rsidP="006000BA">
      <w:pPr>
        <w:rPr>
          <w:szCs w:val="20"/>
        </w:rPr>
      </w:pPr>
      <w:r>
        <w:rPr>
          <w:szCs w:val="20"/>
        </w:rPr>
        <w:t>The manufacture of powered infant formula does not include a processing step that can eliminate all microbiological hazards – it is not a sterile product. This means that the microbiological safety of powdered infant formula must be ensured through good hygienic practices during both manufacture and use.</w:t>
      </w:r>
    </w:p>
    <w:p w14:paraId="71FD8E66" w14:textId="77777777" w:rsidR="006000BA" w:rsidRDefault="006000BA" w:rsidP="006000BA">
      <w:pPr>
        <w:rPr>
          <w:szCs w:val="20"/>
        </w:rPr>
      </w:pPr>
    </w:p>
    <w:p w14:paraId="186093F7" w14:textId="35DFFB7B" w:rsidR="007B5F39" w:rsidRDefault="007B5F39" w:rsidP="006000BA">
      <w:pPr>
        <w:rPr>
          <w:szCs w:val="20"/>
        </w:rPr>
      </w:pPr>
      <w:r>
        <w:rPr>
          <w:szCs w:val="20"/>
        </w:rPr>
        <w:t xml:space="preserve">There are four routes by which the </w:t>
      </w:r>
      <w:r w:rsidR="00C61460">
        <w:rPr>
          <w:szCs w:val="20"/>
        </w:rPr>
        <w:t xml:space="preserve">primary </w:t>
      </w:r>
      <w:r>
        <w:rPr>
          <w:szCs w:val="20"/>
        </w:rPr>
        <w:t>pathogens of concern (</w:t>
      </w:r>
      <w:r w:rsidRPr="003C2867">
        <w:rPr>
          <w:i/>
          <w:szCs w:val="20"/>
        </w:rPr>
        <w:t>Salmonella</w:t>
      </w:r>
      <w:r>
        <w:rPr>
          <w:szCs w:val="20"/>
        </w:rPr>
        <w:t xml:space="preserve"> and </w:t>
      </w:r>
      <w:r w:rsidRPr="003C2867">
        <w:rPr>
          <w:i/>
          <w:szCs w:val="20"/>
        </w:rPr>
        <w:t>C</w:t>
      </w:r>
      <w:r w:rsidR="00870C1D">
        <w:rPr>
          <w:i/>
          <w:szCs w:val="20"/>
        </w:rPr>
        <w:t>ronobacter</w:t>
      </w:r>
      <w:r>
        <w:rPr>
          <w:szCs w:val="20"/>
        </w:rPr>
        <w:t xml:space="preserve">) can contaminate </w:t>
      </w:r>
      <w:r w:rsidR="003C2867">
        <w:rPr>
          <w:szCs w:val="20"/>
        </w:rPr>
        <w:t>powdered formula (</w:t>
      </w:r>
      <w:r w:rsidR="00E76560">
        <w:rPr>
          <w:szCs w:val="20"/>
        </w:rPr>
        <w:t>Codex, 2008</w:t>
      </w:r>
      <w:r w:rsidR="00505B8D" w:rsidRPr="008746E4">
        <w:rPr>
          <w:szCs w:val="20"/>
        </w:rPr>
        <w:t>)</w:t>
      </w:r>
      <w:r w:rsidR="003C2867" w:rsidRPr="00505B8D">
        <w:rPr>
          <w:szCs w:val="20"/>
        </w:rPr>
        <w:t>:</w:t>
      </w:r>
    </w:p>
    <w:p w14:paraId="11C041CD" w14:textId="77777777" w:rsidR="003C2867" w:rsidRDefault="003C2867" w:rsidP="003C2867">
      <w:pPr>
        <w:rPr>
          <w:szCs w:val="20"/>
        </w:rPr>
      </w:pPr>
    </w:p>
    <w:p w14:paraId="727E28F6" w14:textId="33C1C7A0" w:rsidR="003C2867" w:rsidRDefault="003C2867" w:rsidP="003C2867">
      <w:pPr>
        <w:pStyle w:val="FSBullet1"/>
      </w:pPr>
      <w:r w:rsidRPr="008A16A5">
        <w:t>through</w:t>
      </w:r>
      <w:r>
        <w:t xml:space="preserve"> </w:t>
      </w:r>
      <w:r w:rsidRPr="008A16A5">
        <w:t xml:space="preserve">the ingredients added in dry mixing operations during </w:t>
      </w:r>
      <w:r>
        <w:t>manufacture</w:t>
      </w:r>
      <w:r w:rsidRPr="008A16A5">
        <w:t xml:space="preserve"> </w:t>
      </w:r>
    </w:p>
    <w:p w14:paraId="6CF65425" w14:textId="50169D9F" w:rsidR="003C2867" w:rsidRDefault="003C2867" w:rsidP="003C2867">
      <w:pPr>
        <w:pStyle w:val="FSBullet1"/>
      </w:pPr>
      <w:r>
        <w:t xml:space="preserve">through </w:t>
      </w:r>
      <w:r w:rsidRPr="008A16A5">
        <w:t xml:space="preserve">contamination from the processing environment in the steps during or following </w:t>
      </w:r>
      <w:r>
        <w:t>drying</w:t>
      </w:r>
      <w:r w:rsidRPr="008A16A5">
        <w:t xml:space="preserve"> </w:t>
      </w:r>
    </w:p>
    <w:p w14:paraId="410711E4" w14:textId="591DB899" w:rsidR="003C2867" w:rsidRDefault="003C2867" w:rsidP="003C2867">
      <w:pPr>
        <w:pStyle w:val="FSBullet1"/>
      </w:pPr>
      <w:r w:rsidRPr="008A16A5">
        <w:t>through</w:t>
      </w:r>
      <w:r>
        <w:t xml:space="preserve"> </w:t>
      </w:r>
      <w:r w:rsidRPr="008A16A5">
        <w:t xml:space="preserve">contamination after the package is opened </w:t>
      </w:r>
    </w:p>
    <w:p w14:paraId="47463ACF" w14:textId="670FB4FD" w:rsidR="003C2867" w:rsidRDefault="003C2867" w:rsidP="003C2867">
      <w:pPr>
        <w:pStyle w:val="FSBullet1"/>
      </w:pPr>
      <w:r w:rsidRPr="008A16A5">
        <w:t>through contamination during or after</w:t>
      </w:r>
      <w:r>
        <w:t xml:space="preserve"> </w:t>
      </w:r>
      <w:r w:rsidRPr="008A16A5">
        <w:t>reconstitution by the caregiver prior to feeding.</w:t>
      </w:r>
    </w:p>
    <w:p w14:paraId="6C4AEF03" w14:textId="77777777" w:rsidR="003C2867" w:rsidRDefault="003C2867" w:rsidP="003C2867">
      <w:pPr>
        <w:rPr>
          <w:szCs w:val="20"/>
        </w:rPr>
      </w:pPr>
    </w:p>
    <w:p w14:paraId="4C191C8F" w14:textId="749C102B" w:rsidR="007B5F39" w:rsidRDefault="00F65DBA" w:rsidP="006000BA">
      <w:pPr>
        <w:rPr>
          <w:szCs w:val="20"/>
        </w:rPr>
      </w:pPr>
      <w:r>
        <w:rPr>
          <w:szCs w:val="20"/>
        </w:rPr>
        <w:t>As such</w:t>
      </w:r>
      <w:r w:rsidR="00665E82">
        <w:rPr>
          <w:szCs w:val="20"/>
        </w:rPr>
        <w:t>,</w:t>
      </w:r>
      <w:r>
        <w:rPr>
          <w:szCs w:val="20"/>
        </w:rPr>
        <w:t xml:space="preserve"> through chain </w:t>
      </w:r>
      <w:r w:rsidR="00C46B1D">
        <w:rPr>
          <w:szCs w:val="20"/>
        </w:rPr>
        <w:t>risk management</w:t>
      </w:r>
      <w:r>
        <w:rPr>
          <w:szCs w:val="20"/>
        </w:rPr>
        <w:t xml:space="preserve"> measures </w:t>
      </w:r>
      <w:r w:rsidR="00665E82">
        <w:rPr>
          <w:szCs w:val="20"/>
        </w:rPr>
        <w:t xml:space="preserve">are essential </w:t>
      </w:r>
      <w:r>
        <w:rPr>
          <w:szCs w:val="20"/>
        </w:rPr>
        <w:t xml:space="preserve">to </w:t>
      </w:r>
      <w:r w:rsidR="00665E82">
        <w:rPr>
          <w:szCs w:val="20"/>
        </w:rPr>
        <w:t xml:space="preserve">manage </w:t>
      </w:r>
      <w:r w:rsidR="00C46B1D">
        <w:rPr>
          <w:szCs w:val="20"/>
        </w:rPr>
        <w:t>microbiological hazards including:</w:t>
      </w:r>
    </w:p>
    <w:p w14:paraId="67241666" w14:textId="77777777" w:rsidR="00A73858" w:rsidRPr="00417605" w:rsidRDefault="00A73858" w:rsidP="006000BA">
      <w:pPr>
        <w:rPr>
          <w:szCs w:val="20"/>
        </w:rPr>
      </w:pPr>
    </w:p>
    <w:p w14:paraId="5C1EDA0D" w14:textId="1B5986F5" w:rsidR="00F65DBA" w:rsidRPr="00F65DBA" w:rsidRDefault="00C46B1D" w:rsidP="00F65DBA">
      <w:pPr>
        <w:pStyle w:val="FSBullet1"/>
        <w:rPr>
          <w:rFonts w:eastAsiaTheme="minorHAnsi"/>
          <w:lang w:val="en-US"/>
        </w:rPr>
      </w:pPr>
      <w:r>
        <w:rPr>
          <w:rFonts w:eastAsiaTheme="minorHAnsi"/>
          <w:lang w:val="en-US"/>
        </w:rPr>
        <w:t>i</w:t>
      </w:r>
      <w:r w:rsidR="00F65DBA" w:rsidRPr="00F65DBA">
        <w:rPr>
          <w:rFonts w:eastAsiaTheme="minorHAnsi"/>
          <w:lang w:val="en-US"/>
        </w:rPr>
        <w:t>mplementation of good manufacturing and hygienic practices and food safety control systems by ingredient manufacturers</w:t>
      </w:r>
    </w:p>
    <w:p w14:paraId="26A0017C" w14:textId="5C603FDB" w:rsidR="00F65DBA" w:rsidRPr="00F65DBA" w:rsidRDefault="00C46B1D" w:rsidP="00F65DBA">
      <w:pPr>
        <w:pStyle w:val="FSBullet1"/>
        <w:rPr>
          <w:rFonts w:eastAsiaTheme="minorHAnsi"/>
          <w:lang w:val="en-US"/>
        </w:rPr>
      </w:pPr>
      <w:r>
        <w:rPr>
          <w:rFonts w:eastAsiaTheme="minorHAnsi"/>
          <w:lang w:val="en-US"/>
        </w:rPr>
        <w:t>i</w:t>
      </w:r>
      <w:r w:rsidR="00F65DBA" w:rsidRPr="00F65DBA">
        <w:rPr>
          <w:rFonts w:eastAsiaTheme="minorHAnsi"/>
          <w:lang w:val="en-US"/>
        </w:rPr>
        <w:t>mplementation of good manufacturing and  hygienic practices and food safety control systems by infant formula manufacturers</w:t>
      </w:r>
    </w:p>
    <w:p w14:paraId="528DDDAC" w14:textId="5A6BA23E" w:rsidR="00F65DBA" w:rsidRPr="00F65DBA" w:rsidRDefault="00C46B1D" w:rsidP="00F65DBA">
      <w:pPr>
        <w:pStyle w:val="FSBullet1"/>
        <w:rPr>
          <w:rFonts w:eastAsiaTheme="minorHAnsi"/>
          <w:lang w:val="en-US"/>
        </w:rPr>
      </w:pPr>
      <w:r>
        <w:rPr>
          <w:rFonts w:eastAsiaTheme="minorHAnsi"/>
          <w:lang w:val="en-US"/>
        </w:rPr>
        <w:t>e</w:t>
      </w:r>
      <w:r w:rsidR="00F65DBA" w:rsidRPr="00F65DBA">
        <w:rPr>
          <w:rFonts w:eastAsiaTheme="minorHAnsi"/>
          <w:lang w:val="en-US"/>
        </w:rPr>
        <w:t>ducation and guidance on the safe preparation, storage and use of powdered infant formula</w:t>
      </w:r>
      <w:r>
        <w:rPr>
          <w:rFonts w:eastAsiaTheme="minorHAnsi"/>
          <w:lang w:val="en-US"/>
        </w:rPr>
        <w:t>.</w:t>
      </w:r>
    </w:p>
    <w:p w14:paraId="62F498CB" w14:textId="77777777" w:rsidR="00F65DBA" w:rsidRDefault="00F65DBA" w:rsidP="003C2867">
      <w:pPr>
        <w:rPr>
          <w:rFonts w:eastAsiaTheme="minorHAnsi"/>
        </w:rPr>
      </w:pPr>
    </w:p>
    <w:p w14:paraId="586B953E" w14:textId="776F286E" w:rsidR="00F65DBA" w:rsidRDefault="00720A29" w:rsidP="003C2867">
      <w:pPr>
        <w:rPr>
          <w:rFonts w:eastAsiaTheme="minorHAnsi"/>
        </w:rPr>
      </w:pPr>
      <w:r>
        <w:rPr>
          <w:rFonts w:eastAsiaTheme="minorHAnsi"/>
          <w:lang w:val="en-US"/>
        </w:rPr>
        <w:t>T</w:t>
      </w:r>
      <w:r w:rsidR="00F65DBA" w:rsidRPr="00F65DBA">
        <w:rPr>
          <w:rFonts w:eastAsiaTheme="minorHAnsi"/>
          <w:lang w:val="en-US"/>
        </w:rPr>
        <w:t xml:space="preserve">he </w:t>
      </w:r>
      <w:r w:rsidR="00F65DBA" w:rsidRPr="00F65DBA">
        <w:rPr>
          <w:rFonts w:eastAsiaTheme="minorHAnsi"/>
          <w:i/>
          <w:lang w:val="en-US"/>
        </w:rPr>
        <w:t>Code of Hygienic Practice for Powdered Formulae for Infants and Young Children</w:t>
      </w:r>
      <w:r w:rsidR="00F65DBA" w:rsidRPr="00F65DBA">
        <w:rPr>
          <w:rFonts w:eastAsiaTheme="minorHAnsi"/>
          <w:lang w:val="en-US"/>
        </w:rPr>
        <w:t xml:space="preserve"> (CAC/RCP 66 – 2008)</w:t>
      </w:r>
      <w:r>
        <w:rPr>
          <w:rFonts w:eastAsiaTheme="minorHAnsi"/>
          <w:lang w:val="en-US"/>
        </w:rPr>
        <w:t xml:space="preserve"> </w:t>
      </w:r>
      <w:r>
        <w:rPr>
          <w:rFonts w:eastAsiaTheme="minorHAnsi"/>
        </w:rPr>
        <w:t>was prepared</w:t>
      </w:r>
      <w:r w:rsidRPr="00720A29">
        <w:rPr>
          <w:rFonts w:eastAsiaTheme="minorHAnsi"/>
        </w:rPr>
        <w:t xml:space="preserve"> to provide guidance on the hygienic</w:t>
      </w:r>
      <w:r>
        <w:rPr>
          <w:rFonts w:eastAsiaTheme="minorHAnsi"/>
        </w:rPr>
        <w:t xml:space="preserve"> </w:t>
      </w:r>
      <w:r w:rsidRPr="00720A29">
        <w:rPr>
          <w:rFonts w:eastAsiaTheme="minorHAnsi"/>
        </w:rPr>
        <w:t xml:space="preserve">manufacture of </w:t>
      </w:r>
      <w:r>
        <w:rPr>
          <w:rFonts w:eastAsiaTheme="minorHAnsi"/>
        </w:rPr>
        <w:t>powdered infant formula</w:t>
      </w:r>
      <w:r w:rsidRPr="00720A29">
        <w:rPr>
          <w:rFonts w:eastAsiaTheme="minorHAnsi"/>
        </w:rPr>
        <w:t xml:space="preserve"> and on the subsequent hygienic preparation, handling and use of reconstituted formula</w:t>
      </w:r>
      <w:r w:rsidR="00FB597A">
        <w:rPr>
          <w:rFonts w:eastAsiaTheme="minorHAnsi"/>
        </w:rPr>
        <w:t xml:space="preserve"> products</w:t>
      </w:r>
      <w:r w:rsidRPr="00720A29">
        <w:rPr>
          <w:rFonts w:eastAsiaTheme="minorHAnsi"/>
        </w:rPr>
        <w:t>.</w:t>
      </w:r>
      <w:r w:rsidR="00C62129">
        <w:rPr>
          <w:rFonts w:eastAsiaTheme="minorHAnsi"/>
        </w:rPr>
        <w:t xml:space="preserve"> Such measures are covered in Australia and New Zealand by food safety and labelling requirements in the Code and, additionally in New Zealand, the </w:t>
      </w:r>
      <w:r w:rsidR="00C62129" w:rsidRPr="00203C39">
        <w:rPr>
          <w:i/>
        </w:rPr>
        <w:t xml:space="preserve">Food Act </w:t>
      </w:r>
      <w:r w:rsidR="00A73858">
        <w:rPr>
          <w:i/>
        </w:rPr>
        <w:t>2014</w:t>
      </w:r>
      <w:r w:rsidR="00A73858" w:rsidRPr="00DC7F8A">
        <w:t xml:space="preserve"> </w:t>
      </w:r>
      <w:r w:rsidR="00C62129">
        <w:t>and</w:t>
      </w:r>
      <w:r w:rsidR="00C62129" w:rsidRPr="00DC7F8A">
        <w:t xml:space="preserve"> the </w:t>
      </w:r>
      <w:r w:rsidR="00C62129" w:rsidRPr="00203C39">
        <w:rPr>
          <w:i/>
        </w:rPr>
        <w:t>Animal Products Act 1999</w:t>
      </w:r>
      <w:r w:rsidR="00C62129">
        <w:rPr>
          <w:i/>
        </w:rPr>
        <w:t>.</w:t>
      </w:r>
      <w:r w:rsidR="00C62129">
        <w:t xml:space="preserve"> </w:t>
      </w:r>
      <w:r w:rsidR="00870493">
        <w:t xml:space="preserve">Industry </w:t>
      </w:r>
      <w:r w:rsidR="00870493" w:rsidRPr="00870493">
        <w:rPr>
          <w:rFonts w:eastAsiaTheme="minorHAnsi"/>
        </w:rPr>
        <w:t>food quality assurance systems and</w:t>
      </w:r>
      <w:r w:rsidR="00870493">
        <w:rPr>
          <w:rFonts w:eastAsiaTheme="minorHAnsi"/>
        </w:rPr>
        <w:t xml:space="preserve"> food safety management systems</w:t>
      </w:r>
      <w:r w:rsidR="00870493" w:rsidRPr="00870493">
        <w:rPr>
          <w:rFonts w:eastAsiaTheme="minorHAnsi"/>
        </w:rPr>
        <w:t xml:space="preserve"> such as HACCP, S</w:t>
      </w:r>
      <w:r w:rsidR="00870493">
        <w:rPr>
          <w:rFonts w:eastAsiaTheme="minorHAnsi"/>
        </w:rPr>
        <w:t>QF 2000, ISO 9001 and ISO 22000 are also widely implemented.</w:t>
      </w:r>
    </w:p>
    <w:p w14:paraId="7D1F5ECD" w14:textId="6CA2D306" w:rsidR="008A16A5" w:rsidRDefault="00BA6AB5" w:rsidP="00BA6AB5">
      <w:pPr>
        <w:pStyle w:val="Heading4"/>
      </w:pPr>
      <w:r>
        <w:t>2.</w:t>
      </w:r>
      <w:r w:rsidR="006334AF">
        <w:t>2</w:t>
      </w:r>
      <w:r>
        <w:t>.</w:t>
      </w:r>
      <w:r w:rsidR="006334AF">
        <w:t>3</w:t>
      </w:r>
      <w:r>
        <w:t>.2</w:t>
      </w:r>
      <w:r w:rsidR="00DA24D6">
        <w:tab/>
      </w:r>
      <w:r>
        <w:t>Role of microbiological testing</w:t>
      </w:r>
    </w:p>
    <w:p w14:paraId="386C964B" w14:textId="659A44D8" w:rsidR="008A16A5" w:rsidRDefault="003E3F6F" w:rsidP="00D9175E">
      <w:pPr>
        <w:rPr>
          <w:szCs w:val="20"/>
        </w:rPr>
      </w:pPr>
      <w:r>
        <w:rPr>
          <w:szCs w:val="20"/>
        </w:rPr>
        <w:t xml:space="preserve">The ICMSF (2011) provide a good overview on the use of microbiological sampling and testing of powdered infant formula product, including appropriate sampling plans. </w:t>
      </w:r>
      <w:r w:rsidR="005F6CC6">
        <w:rPr>
          <w:szCs w:val="20"/>
        </w:rPr>
        <w:t>Sampling and testing may be utilised by infant formula manufacturers from supply of ingredients through to the final product as part of monitoring and verification of the food safety control system</w:t>
      </w:r>
      <w:r w:rsidR="00CC2D4D">
        <w:rPr>
          <w:szCs w:val="20"/>
        </w:rPr>
        <w:t>:</w:t>
      </w:r>
      <w:r w:rsidR="005F6CC6">
        <w:rPr>
          <w:szCs w:val="20"/>
        </w:rPr>
        <w:t xml:space="preserve">  </w:t>
      </w:r>
    </w:p>
    <w:p w14:paraId="02B84447" w14:textId="77777777" w:rsidR="006000BA" w:rsidRDefault="006000BA" w:rsidP="006000BA">
      <w:pPr>
        <w:rPr>
          <w:rFonts w:eastAsiaTheme="minorHAnsi"/>
          <w:lang w:bidi="ar-SA"/>
        </w:rPr>
      </w:pPr>
    </w:p>
    <w:p w14:paraId="53E13648" w14:textId="2B0E3984" w:rsidR="0037182C" w:rsidRDefault="00CC2D4D" w:rsidP="00A756AD">
      <w:pPr>
        <w:pStyle w:val="FSBullet1"/>
      </w:pPr>
      <w:r>
        <w:t>I</w:t>
      </w:r>
      <w:r w:rsidR="006000BA" w:rsidRPr="00C91561">
        <w:t>ngredients</w:t>
      </w:r>
      <w:r w:rsidR="00242F16">
        <w:t xml:space="preserve"> </w:t>
      </w:r>
      <w:r w:rsidR="0037182C">
        <w:rPr>
          <w:szCs w:val="20"/>
        </w:rPr>
        <w:t>–</w:t>
      </w:r>
      <w:r w:rsidDel="00242F16">
        <w:t xml:space="preserve"> </w:t>
      </w:r>
      <w:r>
        <w:t>m</w:t>
      </w:r>
      <w:r w:rsidR="008145DA">
        <w:t xml:space="preserve">icrobiological sampling and testing of ingredients </w:t>
      </w:r>
      <w:r>
        <w:t>may be</w:t>
      </w:r>
      <w:r w:rsidR="008145DA">
        <w:t xml:space="preserve"> </w:t>
      </w:r>
      <w:r>
        <w:t>undertaken</w:t>
      </w:r>
      <w:r w:rsidR="008145DA">
        <w:t xml:space="preserve"> as part of supplier assurance to ensure ingredients have been manufactured in accordance with good hygienic practice and</w:t>
      </w:r>
      <w:r w:rsidR="006000BA">
        <w:t xml:space="preserve"> that final product criteria can be met. </w:t>
      </w:r>
      <w:r w:rsidR="007E37F1">
        <w:t xml:space="preserve">This is particularly important for dry-mix ingredients as there is no kill step during manufacture. </w:t>
      </w:r>
      <w:r w:rsidR="0037182C">
        <w:br w:type="page"/>
      </w:r>
    </w:p>
    <w:p w14:paraId="6FE5AE44" w14:textId="2336FAE7" w:rsidR="006000BA" w:rsidRDefault="006000BA" w:rsidP="00A756AD">
      <w:pPr>
        <w:pStyle w:val="FSBullet1"/>
      </w:pPr>
      <w:r w:rsidRPr="003B406E">
        <w:lastRenderedPageBreak/>
        <w:t>Processing Environment</w:t>
      </w:r>
      <w:r w:rsidR="00CC2D4D">
        <w:t xml:space="preserve"> </w:t>
      </w:r>
      <w:r w:rsidR="0037182C">
        <w:rPr>
          <w:szCs w:val="20"/>
        </w:rPr>
        <w:t>–</w:t>
      </w:r>
      <w:r w:rsidR="00CC2D4D">
        <w:t xml:space="preserve"> s</w:t>
      </w:r>
      <w:r>
        <w:t xml:space="preserve">ampling and testing of environmental samples </w:t>
      </w:r>
      <w:r w:rsidR="00CC2D4D">
        <w:t>can help verify</w:t>
      </w:r>
      <w:r>
        <w:t xml:space="preserve"> the effectiveness of </w:t>
      </w:r>
      <w:r w:rsidR="00CC2D4D">
        <w:t xml:space="preserve">the </w:t>
      </w:r>
      <w:r>
        <w:t xml:space="preserve">control measures in place to prevent entry and establishment of </w:t>
      </w:r>
      <w:r w:rsidRPr="00CC2D4D">
        <w:rPr>
          <w:i/>
        </w:rPr>
        <w:t>Salmonella</w:t>
      </w:r>
      <w:r>
        <w:t xml:space="preserve"> and </w:t>
      </w:r>
      <w:r w:rsidRPr="00CC2D4D">
        <w:rPr>
          <w:i/>
        </w:rPr>
        <w:t>C</w:t>
      </w:r>
      <w:r w:rsidR="00870C1D" w:rsidRPr="00CC2D4D">
        <w:rPr>
          <w:i/>
        </w:rPr>
        <w:t>ronobacter</w:t>
      </w:r>
      <w:r>
        <w:t xml:space="preserve"> </w:t>
      </w:r>
      <w:r w:rsidR="00CC2D4D">
        <w:t xml:space="preserve">spp. </w:t>
      </w:r>
      <w:r>
        <w:t xml:space="preserve">in the processing environment. </w:t>
      </w:r>
    </w:p>
    <w:p w14:paraId="3F1E4BFC" w14:textId="77777777" w:rsidR="00CC2D4D" w:rsidRPr="00CC2D4D" w:rsidRDefault="00CC2D4D" w:rsidP="00CC2D4D"/>
    <w:p w14:paraId="1E0F9781" w14:textId="75A96E90" w:rsidR="006000BA" w:rsidRDefault="006000BA" w:rsidP="00A756AD">
      <w:pPr>
        <w:pStyle w:val="FSBullet1"/>
      </w:pPr>
      <w:r w:rsidRPr="00A54179">
        <w:t>In process</w:t>
      </w:r>
      <w:r w:rsidR="00CC2D4D">
        <w:t xml:space="preserve"> </w:t>
      </w:r>
      <w:r w:rsidR="0037182C">
        <w:rPr>
          <w:szCs w:val="20"/>
        </w:rPr>
        <w:t>–</w:t>
      </w:r>
      <w:r w:rsidR="00CC2D4D">
        <w:t xml:space="preserve"> t</w:t>
      </w:r>
      <w:r>
        <w:t xml:space="preserve">esting of in-process samples </w:t>
      </w:r>
      <w:r w:rsidR="00CC2D4D">
        <w:t xml:space="preserve">can help </w:t>
      </w:r>
      <w:r>
        <w:t>verif</w:t>
      </w:r>
      <w:r w:rsidR="00CC2D4D">
        <w:t>y</w:t>
      </w:r>
      <w:r>
        <w:t xml:space="preserve"> </w:t>
      </w:r>
      <w:r w:rsidR="00CC2D4D">
        <w:t xml:space="preserve">that </w:t>
      </w:r>
      <w:r w:rsidR="003E3F6F">
        <w:t>the potential for</w:t>
      </w:r>
      <w:r w:rsidR="00CC2D4D">
        <w:t xml:space="preserve"> </w:t>
      </w:r>
      <w:r w:rsidR="002A69D4">
        <w:t>re</w:t>
      </w:r>
      <w:r w:rsidR="00CC2D4D">
        <w:t>contamination</w:t>
      </w:r>
      <w:r w:rsidR="003E3F6F">
        <w:t xml:space="preserve"> </w:t>
      </w:r>
      <w:r w:rsidR="002A69D4">
        <w:t>is being controlled effectively</w:t>
      </w:r>
      <w:r>
        <w:t xml:space="preserve">. </w:t>
      </w:r>
      <w:r w:rsidR="00CC2D4D">
        <w:t>This may involve taking</w:t>
      </w:r>
      <w:r>
        <w:t xml:space="preserve"> representative samples at critical steps along the processing line, from the drying step to the filling of the finished product</w:t>
      </w:r>
      <w:r w:rsidR="002A69D4">
        <w:t xml:space="preserve"> and</w:t>
      </w:r>
      <w:r w:rsidR="00CC2D4D">
        <w:t xml:space="preserve"> include testing for </w:t>
      </w:r>
      <w:r w:rsidR="00CC2D4D" w:rsidRPr="00CC2D4D">
        <w:rPr>
          <w:i/>
        </w:rPr>
        <w:t>Salmonella</w:t>
      </w:r>
      <w:r w:rsidR="00CC2D4D">
        <w:t xml:space="preserve">, </w:t>
      </w:r>
      <w:r w:rsidR="00CC2D4D" w:rsidRPr="00CC2D4D">
        <w:rPr>
          <w:i/>
        </w:rPr>
        <w:t>Cronobacter</w:t>
      </w:r>
      <w:r w:rsidR="00CC2D4D">
        <w:t xml:space="preserve"> and Enterobacteriaceae</w:t>
      </w:r>
      <w:r w:rsidR="002A69D4">
        <w:t>.</w:t>
      </w:r>
      <w:r w:rsidR="00CC2D4D">
        <w:t xml:space="preserve">  </w:t>
      </w:r>
    </w:p>
    <w:p w14:paraId="07E16C8C" w14:textId="77777777" w:rsidR="006000BA" w:rsidRDefault="006000BA" w:rsidP="006000BA"/>
    <w:p w14:paraId="2473F2FB" w14:textId="4ABCE76A" w:rsidR="006000BA" w:rsidRDefault="006000BA" w:rsidP="00A756AD">
      <w:pPr>
        <w:pStyle w:val="FSBullet1"/>
      </w:pPr>
      <w:r w:rsidRPr="00F011F0">
        <w:t>Final product</w:t>
      </w:r>
      <w:r w:rsidR="003F39A7">
        <w:t xml:space="preserve"> </w:t>
      </w:r>
      <w:r w:rsidR="0037182C">
        <w:rPr>
          <w:szCs w:val="20"/>
        </w:rPr>
        <w:t>–</w:t>
      </w:r>
      <w:r w:rsidR="003F39A7">
        <w:t xml:space="preserve"> t</w:t>
      </w:r>
      <w:r>
        <w:t>est</w:t>
      </w:r>
      <w:r w:rsidR="003F39A7">
        <w:t>ing</w:t>
      </w:r>
      <w:r>
        <w:t xml:space="preserve"> </w:t>
      </w:r>
      <w:r w:rsidR="003F39A7">
        <w:t xml:space="preserve">of the final product </w:t>
      </w:r>
      <w:r>
        <w:t xml:space="preserve">for indicators </w:t>
      </w:r>
      <w:r w:rsidR="003F39A7">
        <w:t xml:space="preserve">(e.g. </w:t>
      </w:r>
      <w:r w:rsidR="00677A75">
        <w:t>M</w:t>
      </w:r>
      <w:r w:rsidR="00E028C7">
        <w:t xml:space="preserve">esophilic </w:t>
      </w:r>
      <w:r w:rsidR="00677A75">
        <w:t>A</w:t>
      </w:r>
      <w:r w:rsidR="00E028C7">
        <w:t xml:space="preserve">erobic </w:t>
      </w:r>
      <w:r w:rsidR="00677A75">
        <w:t>B</w:t>
      </w:r>
      <w:r w:rsidR="00E028C7">
        <w:t>acteria (MAB)</w:t>
      </w:r>
      <w:r w:rsidR="003F39A7">
        <w:t xml:space="preserve"> and Enterobacteriacea) is useful as</w:t>
      </w:r>
      <w:r w:rsidR="008525E0">
        <w:t xml:space="preserve"> verification of </w:t>
      </w:r>
      <w:r>
        <w:t>pro</w:t>
      </w:r>
      <w:r w:rsidR="003F39A7">
        <w:t xml:space="preserve">cess control and </w:t>
      </w:r>
      <w:r w:rsidR="008525E0">
        <w:t xml:space="preserve">for </w:t>
      </w:r>
      <w:r w:rsidR="003F39A7">
        <w:t>trend analysis.</w:t>
      </w:r>
      <w:r w:rsidR="008525E0">
        <w:t xml:space="preserve"> Testing of pathogens in the final product should be integrated with in-process sampling and environmental monitoring. </w:t>
      </w:r>
      <w:r w:rsidR="003E3F6F">
        <w:t xml:space="preserve">For example </w:t>
      </w:r>
      <w:r w:rsidR="002A69D4">
        <w:t xml:space="preserve">any positive results for </w:t>
      </w:r>
      <w:r w:rsidR="002A69D4" w:rsidRPr="003E3F6F">
        <w:rPr>
          <w:i/>
        </w:rPr>
        <w:t>Salmonella</w:t>
      </w:r>
      <w:r w:rsidR="002A69D4">
        <w:t xml:space="preserve"> in the processing environment or in-process sample </w:t>
      </w:r>
      <w:r w:rsidR="00BB14C2">
        <w:t>should</w:t>
      </w:r>
      <w:r w:rsidR="002A69D4">
        <w:t xml:space="preserve"> result in increased </w:t>
      </w:r>
      <w:r w:rsidR="00BB14C2">
        <w:t xml:space="preserve">sampling regime </w:t>
      </w:r>
      <w:r w:rsidR="002A69D4">
        <w:t>of the final product.</w:t>
      </w:r>
    </w:p>
    <w:p w14:paraId="5AC4A2BE" w14:textId="033F8BD3" w:rsidR="00725C06" w:rsidRPr="001052F6" w:rsidRDefault="00BA6AB5" w:rsidP="001052F6">
      <w:pPr>
        <w:pStyle w:val="Heading3"/>
      </w:pPr>
      <w:bookmarkStart w:id="38" w:name="_Toc431997680"/>
      <w:r w:rsidRPr="001052F6">
        <w:t>2.</w:t>
      </w:r>
      <w:r w:rsidR="006334AF">
        <w:t>2</w:t>
      </w:r>
      <w:r w:rsidR="001052F6">
        <w:t>.</w:t>
      </w:r>
      <w:r w:rsidR="006334AF">
        <w:t>4</w:t>
      </w:r>
      <w:r w:rsidRPr="001052F6">
        <w:t xml:space="preserve"> </w:t>
      </w:r>
      <w:r w:rsidR="004B681D">
        <w:tab/>
      </w:r>
      <w:r w:rsidRPr="001052F6">
        <w:t>Proposed microbiological criteria</w:t>
      </w:r>
      <w:bookmarkEnd w:id="38"/>
    </w:p>
    <w:p w14:paraId="4E65556E" w14:textId="3B44E05E" w:rsidR="00BA6AB5" w:rsidRDefault="001052F6" w:rsidP="001052F6">
      <w:pPr>
        <w:pStyle w:val="Heading4"/>
      </w:pPr>
      <w:r>
        <w:t>2.</w:t>
      </w:r>
      <w:r w:rsidR="006334AF">
        <w:t>2</w:t>
      </w:r>
      <w:r>
        <w:t>.</w:t>
      </w:r>
      <w:r w:rsidR="006334AF">
        <w:t>4</w:t>
      </w:r>
      <w:r>
        <w:t xml:space="preserve">.1 </w:t>
      </w:r>
      <w:r w:rsidR="003021AA">
        <w:tab/>
      </w:r>
      <w:r>
        <w:t>Food safety criteria</w:t>
      </w:r>
    </w:p>
    <w:p w14:paraId="15CB823C" w14:textId="251D9535" w:rsidR="00DD79E5" w:rsidRPr="00DD79E5" w:rsidRDefault="00E028C7" w:rsidP="00DD79E5">
      <w:pPr>
        <w:rPr>
          <w:szCs w:val="20"/>
        </w:rPr>
      </w:pPr>
      <w:r>
        <w:rPr>
          <w:szCs w:val="20"/>
        </w:rPr>
        <w:t>As outlined in Section 2.2, t</w:t>
      </w:r>
      <w:r w:rsidR="00DD79E5" w:rsidRPr="00DD79E5">
        <w:rPr>
          <w:szCs w:val="20"/>
        </w:rPr>
        <w:t xml:space="preserve">wo FAO/WHO meetings of experts on the microbiological safety of powdered infant formula products (FAO/WHO, 2004 and 2006) identified </w:t>
      </w:r>
      <w:r w:rsidR="00DD79E5" w:rsidRPr="00DD79E5">
        <w:rPr>
          <w:i/>
          <w:szCs w:val="20"/>
        </w:rPr>
        <w:t>Salmonella</w:t>
      </w:r>
      <w:r w:rsidR="00DD79E5" w:rsidRPr="00DD79E5">
        <w:rPr>
          <w:szCs w:val="20"/>
        </w:rPr>
        <w:t xml:space="preserve"> and </w:t>
      </w:r>
      <w:r w:rsidR="00DD79E5">
        <w:rPr>
          <w:szCs w:val="20"/>
        </w:rPr>
        <w:t>C</w:t>
      </w:r>
      <w:r w:rsidR="00DD79E5">
        <w:rPr>
          <w:i/>
          <w:szCs w:val="20"/>
        </w:rPr>
        <w:t>ronobacter</w:t>
      </w:r>
      <w:r w:rsidR="00DD79E5" w:rsidRPr="00DD79E5">
        <w:rPr>
          <w:szCs w:val="20"/>
        </w:rPr>
        <w:t xml:space="preserve"> as the two primary hazards of concern in infant formula products.</w:t>
      </w:r>
      <w:r w:rsidR="00C45419" w:rsidRPr="00C45419">
        <w:rPr>
          <w:iCs/>
          <w:szCs w:val="20"/>
        </w:rPr>
        <w:t xml:space="preserve"> </w:t>
      </w:r>
      <w:r w:rsidR="00C45419" w:rsidRPr="00DD79E5">
        <w:rPr>
          <w:iCs/>
          <w:szCs w:val="20"/>
        </w:rPr>
        <w:t xml:space="preserve">In relation to </w:t>
      </w:r>
      <w:r w:rsidR="00C45419" w:rsidRPr="00DD79E5">
        <w:rPr>
          <w:i/>
          <w:iCs/>
          <w:szCs w:val="20"/>
        </w:rPr>
        <w:t>Cronobacter</w:t>
      </w:r>
      <w:r w:rsidR="00C45419" w:rsidRPr="00DD79E5">
        <w:rPr>
          <w:iCs/>
          <w:szCs w:val="20"/>
        </w:rPr>
        <w:t xml:space="preserve"> the FAO/WHO expert meetings identified all infants (&lt;12 months of age) as the population at particular risk for </w:t>
      </w:r>
      <w:r w:rsidR="00C45419" w:rsidRPr="00DD79E5">
        <w:rPr>
          <w:i/>
          <w:iCs/>
          <w:szCs w:val="20"/>
        </w:rPr>
        <w:t xml:space="preserve">Cronobacter </w:t>
      </w:r>
      <w:r w:rsidR="00C45419" w:rsidRPr="00DD79E5">
        <w:rPr>
          <w:iCs/>
          <w:szCs w:val="20"/>
        </w:rPr>
        <w:t>infections. Among this group, those at greatest risk are neonates (&lt;28 days), particularly pre-term, low-birthweight (&lt;2500 g), and those less than 2 months of age</w:t>
      </w:r>
      <w:r w:rsidR="00C45419">
        <w:rPr>
          <w:iCs/>
          <w:szCs w:val="20"/>
        </w:rPr>
        <w:t>.</w:t>
      </w:r>
    </w:p>
    <w:p w14:paraId="3B4FE43B" w14:textId="77777777" w:rsidR="00DD79E5" w:rsidRPr="00DD79E5" w:rsidRDefault="00DD79E5" w:rsidP="00DD79E5">
      <w:pPr>
        <w:rPr>
          <w:iCs/>
          <w:szCs w:val="20"/>
        </w:rPr>
      </w:pPr>
    </w:p>
    <w:p w14:paraId="19CE7E7E" w14:textId="552F879C" w:rsidR="001052F6" w:rsidRPr="000E0800" w:rsidRDefault="002D44C8" w:rsidP="00DD79E5">
      <w:pPr>
        <w:rPr>
          <w:iCs/>
          <w:szCs w:val="20"/>
        </w:rPr>
      </w:pPr>
      <w:r>
        <w:rPr>
          <w:iCs/>
          <w:szCs w:val="20"/>
        </w:rPr>
        <w:t>This work supported the development of f</w:t>
      </w:r>
      <w:r w:rsidR="00C45419">
        <w:rPr>
          <w:iCs/>
          <w:szCs w:val="20"/>
        </w:rPr>
        <w:t xml:space="preserve">ood safety criteria for </w:t>
      </w:r>
      <w:r w:rsidR="00C45419" w:rsidRPr="00C45419">
        <w:rPr>
          <w:i/>
          <w:iCs/>
          <w:szCs w:val="20"/>
        </w:rPr>
        <w:t>Salmonella</w:t>
      </w:r>
      <w:r w:rsidR="00C45419">
        <w:rPr>
          <w:iCs/>
          <w:szCs w:val="20"/>
        </w:rPr>
        <w:t xml:space="preserve"> and </w:t>
      </w:r>
      <w:r w:rsidR="00C45419" w:rsidRPr="00C45419">
        <w:rPr>
          <w:i/>
          <w:iCs/>
          <w:szCs w:val="20"/>
        </w:rPr>
        <w:t>Cronobacter</w:t>
      </w:r>
      <w:r w:rsidR="00C45419">
        <w:rPr>
          <w:iCs/>
          <w:szCs w:val="20"/>
        </w:rPr>
        <w:t xml:space="preserve"> </w:t>
      </w:r>
      <w:r w:rsidR="00967AC2">
        <w:rPr>
          <w:iCs/>
          <w:szCs w:val="20"/>
        </w:rPr>
        <w:t>in the</w:t>
      </w:r>
      <w:r w:rsidR="000E0800">
        <w:rPr>
          <w:iCs/>
          <w:szCs w:val="20"/>
        </w:rPr>
        <w:t xml:space="preserve"> Codex </w:t>
      </w:r>
      <w:r w:rsidR="000E0800" w:rsidRPr="00F65DBA">
        <w:rPr>
          <w:rFonts w:eastAsiaTheme="minorHAnsi"/>
          <w:i/>
          <w:lang w:val="en-US"/>
        </w:rPr>
        <w:t>Code of Hygienic Practice for Powdered Formulae for Infants and Young Children</w:t>
      </w:r>
      <w:r w:rsidR="000E0800">
        <w:rPr>
          <w:rFonts w:eastAsiaTheme="minorHAnsi"/>
          <w:i/>
          <w:lang w:val="en-US"/>
        </w:rPr>
        <w:t>.</w:t>
      </w:r>
      <w:r w:rsidR="000E0800">
        <w:rPr>
          <w:rFonts w:eastAsiaTheme="minorHAnsi"/>
          <w:lang w:val="en-US"/>
        </w:rPr>
        <w:t xml:space="preserve"> </w:t>
      </w:r>
      <w:r w:rsidR="00F5183A">
        <w:rPr>
          <w:rFonts w:eastAsiaTheme="minorHAnsi"/>
          <w:lang w:val="en-US"/>
        </w:rPr>
        <w:t>Criteria</w:t>
      </w:r>
      <w:r>
        <w:rPr>
          <w:rFonts w:eastAsiaTheme="minorHAnsi"/>
          <w:lang w:val="en-US"/>
        </w:rPr>
        <w:t xml:space="preserve"> for </w:t>
      </w:r>
      <w:r>
        <w:rPr>
          <w:rFonts w:eastAsiaTheme="minorHAnsi"/>
          <w:i/>
          <w:lang w:val="en-US"/>
        </w:rPr>
        <w:t xml:space="preserve">Salmonella </w:t>
      </w:r>
      <w:r w:rsidR="00CD1BA4">
        <w:rPr>
          <w:rFonts w:eastAsiaTheme="minorHAnsi"/>
          <w:lang w:val="en-US"/>
        </w:rPr>
        <w:t>w</w:t>
      </w:r>
      <w:r w:rsidR="00F5183A">
        <w:rPr>
          <w:rFonts w:eastAsiaTheme="minorHAnsi"/>
          <w:lang w:val="en-US"/>
        </w:rPr>
        <w:t>ere</w:t>
      </w:r>
      <w:r>
        <w:rPr>
          <w:rFonts w:eastAsiaTheme="minorHAnsi"/>
          <w:lang w:val="en-US"/>
        </w:rPr>
        <w:t xml:space="preserve"> developed for all powdered infant formula products. </w:t>
      </w:r>
      <w:r w:rsidR="00F5183A">
        <w:rPr>
          <w:rFonts w:eastAsiaTheme="minorHAnsi"/>
          <w:lang w:val="en-US"/>
        </w:rPr>
        <w:t>A</w:t>
      </w:r>
      <w:r>
        <w:rPr>
          <w:rFonts w:eastAsiaTheme="minorHAnsi"/>
          <w:lang w:val="en-US"/>
        </w:rPr>
        <w:t xml:space="preserve"> criterion for </w:t>
      </w:r>
      <w:r w:rsidR="00CD1BA4" w:rsidRPr="00CD1BA4">
        <w:rPr>
          <w:rFonts w:eastAsiaTheme="minorHAnsi"/>
          <w:i/>
          <w:lang w:val="en-US"/>
        </w:rPr>
        <w:t>Cronobacter</w:t>
      </w:r>
      <w:r w:rsidR="00CD1BA4">
        <w:rPr>
          <w:rFonts w:eastAsiaTheme="minorHAnsi"/>
          <w:lang w:val="en-US"/>
        </w:rPr>
        <w:t xml:space="preserve"> </w:t>
      </w:r>
      <w:r w:rsidR="001C3E02">
        <w:rPr>
          <w:rFonts w:eastAsiaTheme="minorHAnsi"/>
          <w:lang w:val="en-US"/>
        </w:rPr>
        <w:t xml:space="preserve">was </w:t>
      </w:r>
      <w:r w:rsidR="00F5183A">
        <w:rPr>
          <w:rFonts w:eastAsiaTheme="minorHAnsi"/>
          <w:lang w:val="en-US"/>
        </w:rPr>
        <w:t xml:space="preserve">developed </w:t>
      </w:r>
      <w:r w:rsidR="001C3E02">
        <w:rPr>
          <w:rFonts w:eastAsiaTheme="minorHAnsi"/>
          <w:lang w:val="en-US"/>
        </w:rPr>
        <w:t>for powdered infant formula</w:t>
      </w:r>
      <w:r w:rsidR="00F5183A">
        <w:rPr>
          <w:rFonts w:eastAsiaTheme="minorHAnsi"/>
          <w:lang w:val="en-US"/>
        </w:rPr>
        <w:t xml:space="preserve"> only </w:t>
      </w:r>
      <w:r w:rsidR="00242F16">
        <w:rPr>
          <w:rFonts w:eastAsiaTheme="minorHAnsi"/>
          <w:lang w:val="en-US"/>
        </w:rPr>
        <w:t xml:space="preserve">as it </w:t>
      </w:r>
      <w:r w:rsidR="00CD1BA4">
        <w:rPr>
          <w:rFonts w:eastAsiaTheme="minorHAnsi"/>
          <w:lang w:val="en-US"/>
        </w:rPr>
        <w:t>d</w:t>
      </w:r>
      <w:r w:rsidR="00A756AD">
        <w:rPr>
          <w:rFonts w:eastAsiaTheme="minorHAnsi"/>
          <w:lang w:val="en-US"/>
        </w:rPr>
        <w:t>oes</w:t>
      </w:r>
      <w:r w:rsidR="00CD1BA4">
        <w:rPr>
          <w:rFonts w:eastAsiaTheme="minorHAnsi"/>
          <w:lang w:val="en-US"/>
        </w:rPr>
        <w:t xml:space="preserve"> not apply to follow-on formula.</w:t>
      </w:r>
    </w:p>
    <w:p w14:paraId="4DD0B526" w14:textId="77777777" w:rsidR="00BB14C2" w:rsidRDefault="00BB14C2" w:rsidP="00DD79E5">
      <w:pPr>
        <w:rPr>
          <w:iCs/>
          <w:szCs w:val="20"/>
        </w:rPr>
      </w:pPr>
    </w:p>
    <w:p w14:paraId="3421E2FD" w14:textId="2B352656" w:rsidR="00BB14C2" w:rsidRDefault="00C23C3C" w:rsidP="00BB14C2">
      <w:pPr>
        <w:rPr>
          <w:iCs/>
          <w:szCs w:val="20"/>
          <w:lang w:val="en-US"/>
        </w:rPr>
      </w:pPr>
      <w:r>
        <w:rPr>
          <w:iCs/>
          <w:szCs w:val="20"/>
          <w:lang w:val="en-US"/>
        </w:rPr>
        <w:t xml:space="preserve">Proposal P1039 proposes </w:t>
      </w:r>
      <w:r w:rsidR="00242F16">
        <w:rPr>
          <w:iCs/>
          <w:szCs w:val="20"/>
          <w:lang w:val="en-US"/>
        </w:rPr>
        <w:t>replacing</w:t>
      </w:r>
      <w:r>
        <w:rPr>
          <w:iCs/>
          <w:szCs w:val="20"/>
          <w:lang w:val="en-US"/>
        </w:rPr>
        <w:t xml:space="preserve"> the existing microbiological limits for powdered infant formula </w:t>
      </w:r>
      <w:r w:rsidR="000C76B5">
        <w:rPr>
          <w:iCs/>
          <w:szCs w:val="20"/>
          <w:lang w:val="en-US"/>
        </w:rPr>
        <w:t xml:space="preserve">and follow-on formula </w:t>
      </w:r>
      <w:r>
        <w:rPr>
          <w:iCs/>
          <w:szCs w:val="20"/>
          <w:lang w:val="en-US"/>
        </w:rPr>
        <w:t xml:space="preserve">with criteria for </w:t>
      </w:r>
      <w:r w:rsidRPr="008024BE">
        <w:rPr>
          <w:i/>
          <w:iCs/>
          <w:szCs w:val="20"/>
          <w:lang w:val="en-US"/>
        </w:rPr>
        <w:t>Salmonella</w:t>
      </w:r>
      <w:r>
        <w:rPr>
          <w:iCs/>
          <w:szCs w:val="20"/>
          <w:lang w:val="en-US"/>
        </w:rPr>
        <w:t xml:space="preserve"> and </w:t>
      </w:r>
      <w:r w:rsidRPr="008024BE">
        <w:rPr>
          <w:i/>
          <w:iCs/>
          <w:szCs w:val="20"/>
          <w:lang w:val="en-US"/>
        </w:rPr>
        <w:t>Cronobacter</w:t>
      </w:r>
      <w:r>
        <w:rPr>
          <w:iCs/>
          <w:szCs w:val="20"/>
          <w:lang w:val="en-US"/>
        </w:rPr>
        <w:t xml:space="preserve"> as follows:</w:t>
      </w:r>
    </w:p>
    <w:p w14:paraId="6AF0DF87" w14:textId="77777777" w:rsidR="00C23C3C" w:rsidRDefault="00C23C3C" w:rsidP="00BB14C2">
      <w:pPr>
        <w:rPr>
          <w:iCs/>
          <w:szCs w:val="20"/>
          <w:lang w:val="en-US"/>
        </w:rPr>
      </w:pPr>
    </w:p>
    <w:tbl>
      <w:tblPr>
        <w:tblStyle w:val="TableGrid"/>
        <w:tblW w:w="8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276"/>
        <w:gridCol w:w="992"/>
        <w:gridCol w:w="2551"/>
      </w:tblGrid>
      <w:tr w:rsidR="003021AA" w14:paraId="474A5D67" w14:textId="77777777" w:rsidTr="0037182C">
        <w:tc>
          <w:tcPr>
            <w:tcW w:w="3510" w:type="dxa"/>
          </w:tcPr>
          <w:p w14:paraId="04F8C810" w14:textId="175FC45C" w:rsidR="003021AA" w:rsidRPr="0037182C" w:rsidRDefault="003021AA" w:rsidP="008371E7">
            <w:pPr>
              <w:rPr>
                <w:iCs/>
                <w:sz w:val="18"/>
                <w:szCs w:val="20"/>
                <w:lang w:val="en-US"/>
              </w:rPr>
            </w:pPr>
            <w:r w:rsidRPr="0037182C">
              <w:rPr>
                <w:rFonts w:eastAsiaTheme="minorHAnsi" w:cs="Arial"/>
                <w:b/>
                <w:sz w:val="18"/>
                <w:szCs w:val="22"/>
                <w:lang w:val="en-AU" w:eastAsia="en-AU" w:bidi="ar-SA"/>
              </w:rPr>
              <w:t>Powdered Infant formula</w:t>
            </w:r>
          </w:p>
        </w:tc>
        <w:tc>
          <w:tcPr>
            <w:tcW w:w="1276" w:type="dxa"/>
          </w:tcPr>
          <w:p w14:paraId="571FADCE" w14:textId="63F0CBB5" w:rsidR="003021AA" w:rsidRPr="0037182C" w:rsidRDefault="003021AA" w:rsidP="008371E7">
            <w:pPr>
              <w:rPr>
                <w:b/>
                <w:sz w:val="18"/>
                <w:lang w:val="en-US"/>
              </w:rPr>
            </w:pPr>
            <w:r w:rsidRPr="0037182C">
              <w:rPr>
                <w:b/>
                <w:sz w:val="18"/>
                <w:lang w:val="en-US"/>
              </w:rPr>
              <w:t>(n)</w:t>
            </w:r>
          </w:p>
        </w:tc>
        <w:tc>
          <w:tcPr>
            <w:tcW w:w="992" w:type="dxa"/>
          </w:tcPr>
          <w:p w14:paraId="755BA72D" w14:textId="27C3DC43" w:rsidR="003021AA" w:rsidRPr="0037182C" w:rsidRDefault="003021AA" w:rsidP="008371E7">
            <w:pPr>
              <w:rPr>
                <w:b/>
                <w:sz w:val="18"/>
                <w:lang w:val="en-US"/>
              </w:rPr>
            </w:pPr>
            <w:r w:rsidRPr="0037182C">
              <w:rPr>
                <w:b/>
                <w:sz w:val="18"/>
                <w:lang w:val="en-US"/>
              </w:rPr>
              <w:t>(c)</w:t>
            </w:r>
          </w:p>
        </w:tc>
        <w:tc>
          <w:tcPr>
            <w:tcW w:w="2551" w:type="dxa"/>
          </w:tcPr>
          <w:p w14:paraId="58296667" w14:textId="3A25A06E" w:rsidR="003021AA" w:rsidRPr="0037182C" w:rsidRDefault="003021AA" w:rsidP="008371E7">
            <w:pPr>
              <w:rPr>
                <w:b/>
                <w:sz w:val="18"/>
                <w:lang w:val="en-US"/>
              </w:rPr>
            </w:pPr>
            <w:r w:rsidRPr="0037182C">
              <w:rPr>
                <w:b/>
                <w:sz w:val="18"/>
                <w:lang w:val="en-US"/>
              </w:rPr>
              <w:t>(m)</w:t>
            </w:r>
          </w:p>
        </w:tc>
      </w:tr>
      <w:tr w:rsidR="003021AA" w14:paraId="5505B4E3" w14:textId="77777777" w:rsidTr="0037182C">
        <w:tc>
          <w:tcPr>
            <w:tcW w:w="3510" w:type="dxa"/>
          </w:tcPr>
          <w:p w14:paraId="2DA76092" w14:textId="77777777" w:rsidR="003021AA" w:rsidRPr="0037182C" w:rsidRDefault="003021AA" w:rsidP="008371E7">
            <w:pPr>
              <w:rPr>
                <w:i/>
                <w:iCs/>
                <w:sz w:val="18"/>
                <w:szCs w:val="20"/>
                <w:lang w:val="en-US"/>
              </w:rPr>
            </w:pPr>
          </w:p>
        </w:tc>
        <w:tc>
          <w:tcPr>
            <w:tcW w:w="1276" w:type="dxa"/>
          </w:tcPr>
          <w:p w14:paraId="09308D2B" w14:textId="77777777" w:rsidR="003021AA" w:rsidRPr="0037182C" w:rsidRDefault="003021AA" w:rsidP="008371E7">
            <w:pPr>
              <w:rPr>
                <w:iCs/>
                <w:sz w:val="18"/>
                <w:szCs w:val="20"/>
                <w:lang w:val="en-US"/>
              </w:rPr>
            </w:pPr>
          </w:p>
        </w:tc>
        <w:tc>
          <w:tcPr>
            <w:tcW w:w="992" w:type="dxa"/>
          </w:tcPr>
          <w:p w14:paraId="26A47314" w14:textId="77777777" w:rsidR="003021AA" w:rsidRPr="0037182C" w:rsidRDefault="003021AA" w:rsidP="008371E7">
            <w:pPr>
              <w:rPr>
                <w:iCs/>
                <w:sz w:val="18"/>
                <w:szCs w:val="20"/>
                <w:lang w:val="en-US"/>
              </w:rPr>
            </w:pPr>
          </w:p>
        </w:tc>
        <w:tc>
          <w:tcPr>
            <w:tcW w:w="2551" w:type="dxa"/>
          </w:tcPr>
          <w:p w14:paraId="0DDF928C" w14:textId="77777777" w:rsidR="003021AA" w:rsidRPr="0037182C" w:rsidRDefault="003021AA" w:rsidP="008371E7">
            <w:pPr>
              <w:rPr>
                <w:iCs/>
                <w:sz w:val="18"/>
                <w:szCs w:val="20"/>
              </w:rPr>
            </w:pPr>
          </w:p>
        </w:tc>
      </w:tr>
      <w:tr w:rsidR="003021AA" w14:paraId="36E0A36F" w14:textId="77777777" w:rsidTr="0037182C">
        <w:tc>
          <w:tcPr>
            <w:tcW w:w="3510" w:type="dxa"/>
          </w:tcPr>
          <w:p w14:paraId="0AEE060C" w14:textId="4749BD1C" w:rsidR="003021AA" w:rsidRPr="0037182C" w:rsidRDefault="003021AA" w:rsidP="008371E7">
            <w:pPr>
              <w:rPr>
                <w:i/>
                <w:sz w:val="18"/>
                <w:lang w:val="en-US"/>
              </w:rPr>
            </w:pPr>
            <w:r w:rsidRPr="0037182C">
              <w:rPr>
                <w:i/>
                <w:sz w:val="18"/>
                <w:lang w:val="en-US"/>
              </w:rPr>
              <w:t>Cronobacter</w:t>
            </w:r>
          </w:p>
        </w:tc>
        <w:tc>
          <w:tcPr>
            <w:tcW w:w="1276" w:type="dxa"/>
          </w:tcPr>
          <w:p w14:paraId="686AB4BA" w14:textId="508874E6" w:rsidR="003021AA" w:rsidRPr="0037182C" w:rsidRDefault="003021AA" w:rsidP="008371E7">
            <w:pPr>
              <w:rPr>
                <w:iCs/>
                <w:sz w:val="18"/>
                <w:szCs w:val="20"/>
                <w:lang w:val="en-US"/>
              </w:rPr>
            </w:pPr>
            <w:r w:rsidRPr="0037182C">
              <w:rPr>
                <w:iCs/>
                <w:sz w:val="18"/>
                <w:szCs w:val="20"/>
                <w:lang w:val="en-US"/>
              </w:rPr>
              <w:t>30</w:t>
            </w:r>
          </w:p>
        </w:tc>
        <w:tc>
          <w:tcPr>
            <w:tcW w:w="992" w:type="dxa"/>
          </w:tcPr>
          <w:p w14:paraId="60A43084" w14:textId="1DF98CB3" w:rsidR="003021AA" w:rsidRPr="0037182C" w:rsidRDefault="003021AA" w:rsidP="008371E7">
            <w:pPr>
              <w:rPr>
                <w:iCs/>
                <w:sz w:val="18"/>
                <w:szCs w:val="20"/>
                <w:lang w:val="en-US"/>
              </w:rPr>
            </w:pPr>
            <w:r w:rsidRPr="0037182C">
              <w:rPr>
                <w:iCs/>
                <w:sz w:val="18"/>
                <w:szCs w:val="20"/>
                <w:lang w:val="en-US"/>
              </w:rPr>
              <w:t>0</w:t>
            </w:r>
          </w:p>
        </w:tc>
        <w:tc>
          <w:tcPr>
            <w:tcW w:w="2551" w:type="dxa"/>
          </w:tcPr>
          <w:p w14:paraId="15E615D7" w14:textId="1142EE2D" w:rsidR="003021AA" w:rsidRPr="0037182C" w:rsidRDefault="003021AA" w:rsidP="008371E7">
            <w:pPr>
              <w:rPr>
                <w:iCs/>
                <w:sz w:val="18"/>
                <w:szCs w:val="20"/>
                <w:lang w:val="en-US"/>
              </w:rPr>
            </w:pPr>
            <w:r w:rsidRPr="0037182C">
              <w:rPr>
                <w:iCs/>
                <w:sz w:val="18"/>
                <w:szCs w:val="20"/>
              </w:rPr>
              <w:t>not detected in 10g</w:t>
            </w:r>
          </w:p>
        </w:tc>
      </w:tr>
      <w:tr w:rsidR="003021AA" w14:paraId="649BBA10" w14:textId="77777777" w:rsidTr="0037182C">
        <w:tc>
          <w:tcPr>
            <w:tcW w:w="3510" w:type="dxa"/>
          </w:tcPr>
          <w:p w14:paraId="0B662A67" w14:textId="77777777" w:rsidR="003021AA" w:rsidRPr="0037182C" w:rsidRDefault="003021AA" w:rsidP="008371E7">
            <w:pPr>
              <w:rPr>
                <w:i/>
                <w:iCs/>
                <w:sz w:val="18"/>
                <w:szCs w:val="20"/>
                <w:lang w:val="en-US"/>
              </w:rPr>
            </w:pPr>
          </w:p>
        </w:tc>
        <w:tc>
          <w:tcPr>
            <w:tcW w:w="1276" w:type="dxa"/>
          </w:tcPr>
          <w:p w14:paraId="69756A10" w14:textId="77777777" w:rsidR="003021AA" w:rsidRPr="0037182C" w:rsidRDefault="003021AA" w:rsidP="008371E7">
            <w:pPr>
              <w:rPr>
                <w:iCs/>
                <w:sz w:val="18"/>
                <w:szCs w:val="20"/>
                <w:lang w:val="en-US"/>
              </w:rPr>
            </w:pPr>
          </w:p>
        </w:tc>
        <w:tc>
          <w:tcPr>
            <w:tcW w:w="992" w:type="dxa"/>
          </w:tcPr>
          <w:p w14:paraId="5872CDF0" w14:textId="77777777" w:rsidR="003021AA" w:rsidRPr="0037182C" w:rsidRDefault="003021AA" w:rsidP="008371E7">
            <w:pPr>
              <w:rPr>
                <w:iCs/>
                <w:sz w:val="18"/>
                <w:szCs w:val="20"/>
                <w:lang w:val="en-US"/>
              </w:rPr>
            </w:pPr>
          </w:p>
        </w:tc>
        <w:tc>
          <w:tcPr>
            <w:tcW w:w="2551" w:type="dxa"/>
          </w:tcPr>
          <w:p w14:paraId="47536021" w14:textId="77777777" w:rsidR="003021AA" w:rsidRPr="0037182C" w:rsidRDefault="003021AA" w:rsidP="008371E7">
            <w:pPr>
              <w:rPr>
                <w:iCs/>
                <w:sz w:val="18"/>
                <w:szCs w:val="20"/>
              </w:rPr>
            </w:pPr>
          </w:p>
        </w:tc>
      </w:tr>
      <w:tr w:rsidR="003021AA" w14:paraId="36973D69" w14:textId="77777777" w:rsidTr="0037182C">
        <w:tc>
          <w:tcPr>
            <w:tcW w:w="3510" w:type="dxa"/>
          </w:tcPr>
          <w:p w14:paraId="62EABA5B" w14:textId="72E8B190" w:rsidR="003021AA" w:rsidRPr="0037182C" w:rsidRDefault="003021AA" w:rsidP="008371E7">
            <w:pPr>
              <w:rPr>
                <w:i/>
                <w:sz w:val="18"/>
                <w:lang w:val="en-US"/>
              </w:rPr>
            </w:pPr>
            <w:r w:rsidRPr="0037182C">
              <w:rPr>
                <w:i/>
                <w:sz w:val="18"/>
                <w:lang w:val="en-US"/>
              </w:rPr>
              <w:t>Salmonella</w:t>
            </w:r>
          </w:p>
        </w:tc>
        <w:tc>
          <w:tcPr>
            <w:tcW w:w="1276" w:type="dxa"/>
          </w:tcPr>
          <w:p w14:paraId="61FC1783" w14:textId="4FB7DDA2" w:rsidR="003021AA" w:rsidRPr="0037182C" w:rsidRDefault="003021AA" w:rsidP="008371E7">
            <w:pPr>
              <w:rPr>
                <w:iCs/>
                <w:sz w:val="18"/>
                <w:szCs w:val="20"/>
                <w:lang w:val="en-US"/>
              </w:rPr>
            </w:pPr>
            <w:r w:rsidRPr="0037182C">
              <w:rPr>
                <w:iCs/>
                <w:sz w:val="18"/>
                <w:szCs w:val="20"/>
                <w:lang w:val="en-US"/>
              </w:rPr>
              <w:t>60</w:t>
            </w:r>
          </w:p>
        </w:tc>
        <w:tc>
          <w:tcPr>
            <w:tcW w:w="992" w:type="dxa"/>
          </w:tcPr>
          <w:p w14:paraId="1F1EF05B" w14:textId="5BBE6CE9" w:rsidR="003021AA" w:rsidRPr="0037182C" w:rsidRDefault="003021AA" w:rsidP="008371E7">
            <w:pPr>
              <w:rPr>
                <w:iCs/>
                <w:sz w:val="18"/>
                <w:szCs w:val="20"/>
                <w:lang w:val="en-US"/>
              </w:rPr>
            </w:pPr>
            <w:r w:rsidRPr="0037182C">
              <w:rPr>
                <w:iCs/>
                <w:sz w:val="18"/>
                <w:szCs w:val="20"/>
                <w:lang w:val="en-US"/>
              </w:rPr>
              <w:t>0</w:t>
            </w:r>
          </w:p>
        </w:tc>
        <w:tc>
          <w:tcPr>
            <w:tcW w:w="2551" w:type="dxa"/>
          </w:tcPr>
          <w:p w14:paraId="00F79EE4" w14:textId="5A2C0CC6" w:rsidR="003021AA" w:rsidRPr="0037182C" w:rsidRDefault="003021AA" w:rsidP="008371E7">
            <w:pPr>
              <w:rPr>
                <w:iCs/>
                <w:sz w:val="18"/>
                <w:szCs w:val="20"/>
                <w:lang w:val="en-US"/>
              </w:rPr>
            </w:pPr>
            <w:r w:rsidRPr="0037182C">
              <w:rPr>
                <w:iCs/>
                <w:sz w:val="18"/>
                <w:szCs w:val="20"/>
              </w:rPr>
              <w:t>not detected in 25 g</w:t>
            </w:r>
          </w:p>
        </w:tc>
      </w:tr>
    </w:tbl>
    <w:p w14:paraId="32AC01A7" w14:textId="797661FA" w:rsidR="003021AA" w:rsidRDefault="003021AA" w:rsidP="00BB14C2">
      <w:pPr>
        <w:rPr>
          <w:iCs/>
          <w:szCs w:val="20"/>
          <w:lang w:val="en-US"/>
        </w:rPr>
      </w:pPr>
    </w:p>
    <w:tbl>
      <w:tblPr>
        <w:tblStyle w:val="TableGrid"/>
        <w:tblW w:w="83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276"/>
        <w:gridCol w:w="992"/>
        <w:gridCol w:w="2552"/>
      </w:tblGrid>
      <w:tr w:rsidR="00F15E20" w:rsidRPr="007F627F" w14:paraId="06629EAA" w14:textId="77777777" w:rsidTr="0037182C">
        <w:tc>
          <w:tcPr>
            <w:tcW w:w="3505" w:type="dxa"/>
          </w:tcPr>
          <w:p w14:paraId="03F76C33" w14:textId="3CEBF1E1" w:rsidR="00F15E20" w:rsidRPr="0037182C" w:rsidRDefault="00F15E20" w:rsidP="00F15E20">
            <w:pPr>
              <w:rPr>
                <w:iCs/>
                <w:sz w:val="18"/>
                <w:szCs w:val="20"/>
                <w:lang w:val="en-US"/>
              </w:rPr>
            </w:pPr>
            <w:r w:rsidRPr="0037182C">
              <w:rPr>
                <w:b/>
                <w:sz w:val="18"/>
                <w:lang w:eastAsia="en-AU" w:bidi="ar-SA"/>
              </w:rPr>
              <w:t xml:space="preserve">Powdered follow-on formula  </w:t>
            </w:r>
          </w:p>
        </w:tc>
        <w:tc>
          <w:tcPr>
            <w:tcW w:w="1276" w:type="dxa"/>
          </w:tcPr>
          <w:p w14:paraId="45FE84DE" w14:textId="77777777" w:rsidR="00F15E20" w:rsidRPr="0037182C" w:rsidRDefault="00F15E20" w:rsidP="002D3E1C">
            <w:pPr>
              <w:rPr>
                <w:b/>
                <w:iCs/>
                <w:sz w:val="18"/>
                <w:szCs w:val="20"/>
                <w:lang w:val="en-US"/>
              </w:rPr>
            </w:pPr>
            <w:r w:rsidRPr="0037182C">
              <w:rPr>
                <w:b/>
                <w:iCs/>
                <w:sz w:val="18"/>
                <w:szCs w:val="20"/>
                <w:lang w:val="en-US"/>
              </w:rPr>
              <w:t>(n)</w:t>
            </w:r>
          </w:p>
        </w:tc>
        <w:tc>
          <w:tcPr>
            <w:tcW w:w="992" w:type="dxa"/>
          </w:tcPr>
          <w:p w14:paraId="503C1629" w14:textId="77777777" w:rsidR="00F15E20" w:rsidRPr="0037182C" w:rsidRDefault="00F15E20" w:rsidP="002D3E1C">
            <w:pPr>
              <w:rPr>
                <w:b/>
                <w:iCs/>
                <w:sz w:val="18"/>
                <w:szCs w:val="20"/>
                <w:lang w:val="en-US"/>
              </w:rPr>
            </w:pPr>
            <w:r w:rsidRPr="0037182C">
              <w:rPr>
                <w:b/>
                <w:iCs/>
                <w:sz w:val="18"/>
                <w:szCs w:val="20"/>
                <w:lang w:val="en-US"/>
              </w:rPr>
              <w:t>(c)</w:t>
            </w:r>
          </w:p>
        </w:tc>
        <w:tc>
          <w:tcPr>
            <w:tcW w:w="2552" w:type="dxa"/>
          </w:tcPr>
          <w:p w14:paraId="2C2AF0BF" w14:textId="77777777" w:rsidR="00F15E20" w:rsidRPr="0037182C" w:rsidRDefault="00F15E20" w:rsidP="002D3E1C">
            <w:pPr>
              <w:rPr>
                <w:b/>
                <w:iCs/>
                <w:sz w:val="18"/>
                <w:szCs w:val="20"/>
                <w:lang w:val="en-US"/>
              </w:rPr>
            </w:pPr>
            <w:r w:rsidRPr="0037182C">
              <w:rPr>
                <w:b/>
                <w:iCs/>
                <w:sz w:val="18"/>
                <w:szCs w:val="20"/>
                <w:lang w:val="en-US"/>
              </w:rPr>
              <w:t>(m)</w:t>
            </w:r>
          </w:p>
        </w:tc>
      </w:tr>
      <w:tr w:rsidR="00F15E20" w:rsidRPr="000C76B5" w14:paraId="1A125DE5" w14:textId="77777777" w:rsidTr="0037182C">
        <w:tc>
          <w:tcPr>
            <w:tcW w:w="3505" w:type="dxa"/>
          </w:tcPr>
          <w:p w14:paraId="106D99FB" w14:textId="77777777" w:rsidR="00F15E20" w:rsidRPr="0037182C" w:rsidRDefault="00F15E20" w:rsidP="002D3E1C">
            <w:pPr>
              <w:rPr>
                <w:i/>
                <w:iCs/>
                <w:sz w:val="18"/>
                <w:szCs w:val="20"/>
                <w:lang w:val="en-US"/>
              </w:rPr>
            </w:pPr>
          </w:p>
        </w:tc>
        <w:tc>
          <w:tcPr>
            <w:tcW w:w="1276" w:type="dxa"/>
          </w:tcPr>
          <w:p w14:paraId="57B8EAD4" w14:textId="77777777" w:rsidR="00F15E20" w:rsidRPr="0037182C" w:rsidRDefault="00F15E20" w:rsidP="002D3E1C">
            <w:pPr>
              <w:rPr>
                <w:iCs/>
                <w:sz w:val="18"/>
                <w:szCs w:val="20"/>
                <w:lang w:val="en-US"/>
              </w:rPr>
            </w:pPr>
          </w:p>
        </w:tc>
        <w:tc>
          <w:tcPr>
            <w:tcW w:w="992" w:type="dxa"/>
          </w:tcPr>
          <w:p w14:paraId="6C15AD24" w14:textId="77777777" w:rsidR="00F15E20" w:rsidRPr="0037182C" w:rsidRDefault="00F15E20" w:rsidP="002D3E1C">
            <w:pPr>
              <w:rPr>
                <w:iCs/>
                <w:sz w:val="18"/>
                <w:szCs w:val="20"/>
                <w:lang w:val="en-US"/>
              </w:rPr>
            </w:pPr>
          </w:p>
        </w:tc>
        <w:tc>
          <w:tcPr>
            <w:tcW w:w="2552" w:type="dxa"/>
          </w:tcPr>
          <w:p w14:paraId="16A02E06" w14:textId="77777777" w:rsidR="00F15E20" w:rsidRPr="0037182C" w:rsidRDefault="00F15E20" w:rsidP="002D3E1C">
            <w:pPr>
              <w:rPr>
                <w:iCs/>
                <w:sz w:val="18"/>
                <w:szCs w:val="20"/>
              </w:rPr>
            </w:pPr>
          </w:p>
        </w:tc>
      </w:tr>
      <w:tr w:rsidR="00F15E20" w14:paraId="7ABD396C" w14:textId="77777777" w:rsidTr="0037182C">
        <w:tc>
          <w:tcPr>
            <w:tcW w:w="3505" w:type="dxa"/>
          </w:tcPr>
          <w:p w14:paraId="40F20048" w14:textId="77777777" w:rsidR="00F15E20" w:rsidRPr="0037182C" w:rsidRDefault="00F15E20" w:rsidP="002D3E1C">
            <w:pPr>
              <w:rPr>
                <w:i/>
                <w:iCs/>
                <w:sz w:val="18"/>
                <w:szCs w:val="20"/>
                <w:lang w:val="en-US"/>
              </w:rPr>
            </w:pPr>
            <w:r w:rsidRPr="0037182C">
              <w:rPr>
                <w:i/>
                <w:iCs/>
                <w:sz w:val="18"/>
                <w:szCs w:val="20"/>
                <w:lang w:val="en-US"/>
              </w:rPr>
              <w:t>Salmonella</w:t>
            </w:r>
          </w:p>
        </w:tc>
        <w:tc>
          <w:tcPr>
            <w:tcW w:w="1276" w:type="dxa"/>
          </w:tcPr>
          <w:p w14:paraId="1F01AA97" w14:textId="77777777" w:rsidR="00F15E20" w:rsidRPr="0037182C" w:rsidRDefault="00F15E20" w:rsidP="002D3E1C">
            <w:pPr>
              <w:rPr>
                <w:iCs/>
                <w:sz w:val="18"/>
                <w:szCs w:val="20"/>
                <w:lang w:val="en-US"/>
              </w:rPr>
            </w:pPr>
            <w:r w:rsidRPr="0037182C">
              <w:rPr>
                <w:iCs/>
                <w:sz w:val="18"/>
                <w:szCs w:val="20"/>
                <w:lang w:val="en-US"/>
              </w:rPr>
              <w:t>60</w:t>
            </w:r>
          </w:p>
        </w:tc>
        <w:tc>
          <w:tcPr>
            <w:tcW w:w="992" w:type="dxa"/>
          </w:tcPr>
          <w:p w14:paraId="1DFA33EE" w14:textId="77777777" w:rsidR="00F15E20" w:rsidRPr="0037182C" w:rsidRDefault="00F15E20" w:rsidP="002D3E1C">
            <w:pPr>
              <w:rPr>
                <w:iCs/>
                <w:sz w:val="18"/>
                <w:szCs w:val="20"/>
                <w:lang w:val="en-US"/>
              </w:rPr>
            </w:pPr>
            <w:r w:rsidRPr="0037182C">
              <w:rPr>
                <w:iCs/>
                <w:sz w:val="18"/>
                <w:szCs w:val="20"/>
                <w:lang w:val="en-US"/>
              </w:rPr>
              <w:t>0</w:t>
            </w:r>
          </w:p>
        </w:tc>
        <w:tc>
          <w:tcPr>
            <w:tcW w:w="2552" w:type="dxa"/>
          </w:tcPr>
          <w:p w14:paraId="22A6F978" w14:textId="77777777" w:rsidR="00F15E20" w:rsidRPr="0037182C" w:rsidRDefault="00F15E20" w:rsidP="002D3E1C">
            <w:pPr>
              <w:rPr>
                <w:iCs/>
                <w:sz w:val="18"/>
                <w:szCs w:val="20"/>
                <w:lang w:val="en-US"/>
              </w:rPr>
            </w:pPr>
            <w:r w:rsidRPr="0037182C">
              <w:rPr>
                <w:iCs/>
                <w:sz w:val="18"/>
                <w:szCs w:val="20"/>
              </w:rPr>
              <w:t>not detected in 25 g</w:t>
            </w:r>
          </w:p>
        </w:tc>
      </w:tr>
    </w:tbl>
    <w:p w14:paraId="3F912586" w14:textId="77777777" w:rsidR="000C76B5" w:rsidRDefault="000C76B5" w:rsidP="00BB14C2">
      <w:pPr>
        <w:rPr>
          <w:iCs/>
          <w:szCs w:val="20"/>
          <w:lang w:val="en-US"/>
        </w:rPr>
      </w:pPr>
    </w:p>
    <w:p w14:paraId="2B0D7A78" w14:textId="77777777" w:rsidR="00973CD1" w:rsidRPr="00BB14C2" w:rsidRDefault="00973CD1" w:rsidP="00973CD1">
      <w:pPr>
        <w:rPr>
          <w:iCs/>
          <w:szCs w:val="20"/>
          <w:lang w:val="en-US"/>
        </w:rPr>
      </w:pPr>
      <w:r w:rsidRPr="00BB14C2">
        <w:rPr>
          <w:iCs/>
          <w:szCs w:val="20"/>
          <w:lang w:val="en-US"/>
        </w:rPr>
        <w:t>Where:</w:t>
      </w:r>
      <w:r w:rsidRPr="00BB14C2">
        <w:rPr>
          <w:iCs/>
          <w:szCs w:val="20"/>
          <w:lang w:val="en-US"/>
        </w:rPr>
        <w:tab/>
        <w:t>n = number of sample units</w:t>
      </w:r>
    </w:p>
    <w:p w14:paraId="3F2017EC" w14:textId="77777777" w:rsidR="00973CD1" w:rsidRPr="00BB14C2" w:rsidRDefault="00973CD1" w:rsidP="00973CD1">
      <w:pPr>
        <w:rPr>
          <w:iCs/>
          <w:szCs w:val="20"/>
          <w:lang w:val="en-US"/>
        </w:rPr>
      </w:pPr>
      <w:r w:rsidRPr="00BB14C2">
        <w:rPr>
          <w:iCs/>
          <w:szCs w:val="20"/>
          <w:lang w:val="en-US"/>
        </w:rPr>
        <w:tab/>
        <w:t xml:space="preserve"> </w:t>
      </w:r>
      <w:r>
        <w:rPr>
          <w:iCs/>
          <w:szCs w:val="20"/>
          <w:lang w:val="en-US"/>
        </w:rPr>
        <w:tab/>
      </w:r>
      <w:r w:rsidRPr="00BB14C2">
        <w:rPr>
          <w:iCs/>
          <w:szCs w:val="20"/>
          <w:lang w:val="en-US"/>
        </w:rPr>
        <w:t>c = the number of sample units allowed to exceed m</w:t>
      </w:r>
    </w:p>
    <w:p w14:paraId="4D4299C4" w14:textId="77777777" w:rsidR="00973CD1" w:rsidRPr="00BB14C2" w:rsidRDefault="00973CD1" w:rsidP="00973CD1">
      <w:pPr>
        <w:rPr>
          <w:iCs/>
          <w:szCs w:val="20"/>
          <w:lang w:val="en-US"/>
        </w:rPr>
      </w:pPr>
      <w:r w:rsidRPr="00BB14C2">
        <w:rPr>
          <w:iCs/>
          <w:szCs w:val="20"/>
          <w:lang w:val="en-US"/>
        </w:rPr>
        <w:t xml:space="preserve">                </w:t>
      </w:r>
      <w:r>
        <w:rPr>
          <w:iCs/>
          <w:szCs w:val="20"/>
          <w:lang w:val="en-US"/>
        </w:rPr>
        <w:tab/>
      </w:r>
      <w:r w:rsidRPr="00BB14C2">
        <w:rPr>
          <w:iCs/>
          <w:szCs w:val="20"/>
          <w:lang w:val="en-US"/>
        </w:rPr>
        <w:t>m = the acceptable microbiological limit</w:t>
      </w:r>
    </w:p>
    <w:p w14:paraId="425BD67F" w14:textId="788C0F78" w:rsidR="00BB14C2" w:rsidRPr="00F5183A" w:rsidRDefault="00BB14C2" w:rsidP="00BB14C2">
      <w:pPr>
        <w:rPr>
          <w:iCs/>
          <w:szCs w:val="20"/>
          <w:lang w:val="en-US"/>
        </w:rPr>
      </w:pPr>
    </w:p>
    <w:p w14:paraId="5D1C5F4B" w14:textId="77777777" w:rsidR="00F5183A" w:rsidRDefault="00BB14C2" w:rsidP="00F5183A">
      <w:pPr>
        <w:rPr>
          <w:iCs/>
          <w:szCs w:val="20"/>
          <w:lang w:val="en-US"/>
        </w:rPr>
      </w:pPr>
      <w:r w:rsidRPr="00BB14C2">
        <w:rPr>
          <w:iCs/>
          <w:szCs w:val="20"/>
        </w:rPr>
        <w:t>These food safety criteria apply to the finished product (powder form) after packaging and at any stage from that point to the point when the primary package is opened.</w:t>
      </w:r>
      <w:r w:rsidR="00F5183A" w:rsidRPr="00F5183A">
        <w:rPr>
          <w:iCs/>
          <w:szCs w:val="20"/>
          <w:lang w:val="en-US"/>
        </w:rPr>
        <w:t xml:space="preserve"> </w:t>
      </w:r>
    </w:p>
    <w:p w14:paraId="73E37853" w14:textId="77777777" w:rsidR="00F5183A" w:rsidRDefault="00F5183A" w:rsidP="00F5183A">
      <w:pPr>
        <w:rPr>
          <w:iCs/>
          <w:szCs w:val="20"/>
          <w:lang w:val="en-US"/>
        </w:rPr>
      </w:pPr>
    </w:p>
    <w:p w14:paraId="5D5C23E3" w14:textId="77777777" w:rsidR="0037182C" w:rsidRDefault="0037182C" w:rsidP="00F5183A">
      <w:pPr>
        <w:rPr>
          <w:iCs/>
          <w:szCs w:val="20"/>
          <w:lang w:val="en-US"/>
        </w:rPr>
      </w:pPr>
      <w:r>
        <w:rPr>
          <w:iCs/>
          <w:szCs w:val="20"/>
          <w:lang w:val="en-US"/>
        </w:rPr>
        <w:br w:type="page"/>
      </w:r>
    </w:p>
    <w:p w14:paraId="1503B938" w14:textId="6ABFDBB2" w:rsidR="00F5183A" w:rsidRDefault="00F5183A" w:rsidP="00F5183A">
      <w:pPr>
        <w:rPr>
          <w:iCs/>
          <w:szCs w:val="20"/>
          <w:lang w:val="en-US"/>
        </w:rPr>
      </w:pPr>
      <w:r w:rsidRPr="00BB14C2">
        <w:rPr>
          <w:iCs/>
          <w:szCs w:val="20"/>
          <w:lang w:val="en-US"/>
        </w:rPr>
        <w:lastRenderedPageBreak/>
        <w:t>The stringency of th</w:t>
      </w:r>
      <w:r>
        <w:rPr>
          <w:iCs/>
          <w:szCs w:val="20"/>
          <w:lang w:val="en-US"/>
        </w:rPr>
        <w:t>ese</w:t>
      </w:r>
      <w:r w:rsidRPr="00BB14C2">
        <w:rPr>
          <w:iCs/>
          <w:szCs w:val="20"/>
          <w:lang w:val="en-US"/>
        </w:rPr>
        <w:t xml:space="preserve"> sampling plan</w:t>
      </w:r>
      <w:r>
        <w:rPr>
          <w:iCs/>
          <w:szCs w:val="20"/>
          <w:lang w:val="en-US"/>
        </w:rPr>
        <w:t>s</w:t>
      </w:r>
      <w:r w:rsidR="00F86C00">
        <w:rPr>
          <w:iCs/>
          <w:szCs w:val="20"/>
          <w:lang w:val="en-US"/>
        </w:rPr>
        <w:t xml:space="preserve"> (</w:t>
      </w:r>
      <w:r>
        <w:rPr>
          <w:iCs/>
          <w:szCs w:val="20"/>
          <w:lang w:val="en-US"/>
        </w:rPr>
        <w:t>n=</w:t>
      </w:r>
      <w:r w:rsidR="00F86C00">
        <w:rPr>
          <w:iCs/>
          <w:szCs w:val="20"/>
          <w:lang w:val="en-US"/>
        </w:rPr>
        <w:t>3</w:t>
      </w:r>
      <w:r>
        <w:rPr>
          <w:iCs/>
          <w:szCs w:val="20"/>
          <w:lang w:val="en-US"/>
        </w:rPr>
        <w:t>0 and n=</w:t>
      </w:r>
      <w:r w:rsidR="00F86C00">
        <w:rPr>
          <w:iCs/>
          <w:szCs w:val="20"/>
          <w:lang w:val="en-US"/>
        </w:rPr>
        <w:t>6</w:t>
      </w:r>
      <w:r>
        <w:rPr>
          <w:iCs/>
          <w:szCs w:val="20"/>
          <w:lang w:val="en-US"/>
        </w:rPr>
        <w:t xml:space="preserve">0) </w:t>
      </w:r>
      <w:r w:rsidRPr="00BB14C2">
        <w:rPr>
          <w:iCs/>
          <w:szCs w:val="20"/>
          <w:lang w:val="en-US"/>
        </w:rPr>
        <w:t>assumes the history of the lot is not known.</w:t>
      </w:r>
      <w:r>
        <w:rPr>
          <w:iCs/>
          <w:szCs w:val="20"/>
          <w:lang w:val="en-US"/>
        </w:rPr>
        <w:t xml:space="preserve"> This is discussed further under section 2.3.3.3.</w:t>
      </w:r>
    </w:p>
    <w:p w14:paraId="719FDC5B" w14:textId="77777777" w:rsidR="0091415F" w:rsidRDefault="0091415F" w:rsidP="00BA39D3">
      <w:pPr>
        <w:rPr>
          <w:iCs/>
          <w:szCs w:val="20"/>
        </w:rPr>
      </w:pPr>
    </w:p>
    <w:p w14:paraId="6471D341" w14:textId="1CD5903D" w:rsidR="00677A75" w:rsidRDefault="00A73858" w:rsidP="00BA39D3">
      <w:pPr>
        <w:rPr>
          <w:szCs w:val="20"/>
        </w:rPr>
      </w:pPr>
      <w:r>
        <w:rPr>
          <w:iCs/>
          <w:szCs w:val="20"/>
        </w:rPr>
        <w:t xml:space="preserve">Schedule 27 </w:t>
      </w:r>
      <w:r w:rsidR="00D34106">
        <w:rPr>
          <w:iCs/>
          <w:szCs w:val="20"/>
        </w:rPr>
        <w:t xml:space="preserve">currently </w:t>
      </w:r>
      <w:r w:rsidR="00BA39D3">
        <w:rPr>
          <w:iCs/>
          <w:szCs w:val="20"/>
        </w:rPr>
        <w:t xml:space="preserve">contains microbiological limits for </w:t>
      </w:r>
      <w:r w:rsidR="00BA39D3" w:rsidRPr="00677A75">
        <w:rPr>
          <w:i/>
          <w:iCs/>
          <w:szCs w:val="20"/>
        </w:rPr>
        <w:t>B. cereus</w:t>
      </w:r>
      <w:r w:rsidR="00BA39D3">
        <w:rPr>
          <w:iCs/>
          <w:szCs w:val="20"/>
        </w:rPr>
        <w:t xml:space="preserve"> and </w:t>
      </w:r>
      <w:r w:rsidR="00BA39D3" w:rsidRPr="00677A75">
        <w:rPr>
          <w:i/>
          <w:iCs/>
          <w:szCs w:val="20"/>
        </w:rPr>
        <w:t>S. aureus</w:t>
      </w:r>
      <w:r w:rsidR="00BA39D3">
        <w:rPr>
          <w:iCs/>
          <w:szCs w:val="20"/>
        </w:rPr>
        <w:t>.</w:t>
      </w:r>
      <w:r w:rsidR="00843691">
        <w:rPr>
          <w:iCs/>
          <w:szCs w:val="20"/>
        </w:rPr>
        <w:t xml:space="preserve"> </w:t>
      </w:r>
      <w:r w:rsidR="00BA39D3" w:rsidRPr="00DD79E5">
        <w:rPr>
          <w:iCs/>
          <w:szCs w:val="20"/>
        </w:rPr>
        <w:t xml:space="preserve">The FAO/WHO </w:t>
      </w:r>
      <w:r w:rsidR="008371E7">
        <w:rPr>
          <w:iCs/>
          <w:szCs w:val="20"/>
        </w:rPr>
        <w:t>e</w:t>
      </w:r>
      <w:r w:rsidR="00BA39D3" w:rsidRPr="00DD79E5">
        <w:rPr>
          <w:iCs/>
          <w:szCs w:val="20"/>
        </w:rPr>
        <w:t>xpert consultation</w:t>
      </w:r>
      <w:r w:rsidR="00BA39D3" w:rsidRPr="00DD79E5">
        <w:rPr>
          <w:szCs w:val="20"/>
        </w:rPr>
        <w:t xml:space="preserve">s </w:t>
      </w:r>
      <w:r w:rsidR="00BA39D3" w:rsidRPr="00DD79E5">
        <w:rPr>
          <w:iCs/>
          <w:szCs w:val="20"/>
        </w:rPr>
        <w:t>found that, while</w:t>
      </w:r>
      <w:r w:rsidR="00BA39D3" w:rsidRPr="00DD79E5">
        <w:rPr>
          <w:i/>
          <w:iCs/>
          <w:szCs w:val="20"/>
        </w:rPr>
        <w:t xml:space="preserve"> S</w:t>
      </w:r>
      <w:r w:rsidR="00677A75">
        <w:rPr>
          <w:i/>
          <w:iCs/>
          <w:szCs w:val="20"/>
        </w:rPr>
        <w:t>.</w:t>
      </w:r>
      <w:r w:rsidR="00BA39D3" w:rsidRPr="00DD79E5">
        <w:rPr>
          <w:i/>
          <w:iCs/>
          <w:szCs w:val="20"/>
        </w:rPr>
        <w:t xml:space="preserve"> aureus </w:t>
      </w:r>
      <w:r w:rsidR="00BA39D3" w:rsidRPr="00DD79E5">
        <w:rPr>
          <w:szCs w:val="20"/>
        </w:rPr>
        <w:t xml:space="preserve">and </w:t>
      </w:r>
      <w:r w:rsidR="00BA39D3" w:rsidRPr="00DD79E5">
        <w:rPr>
          <w:i/>
          <w:iCs/>
          <w:szCs w:val="20"/>
        </w:rPr>
        <w:t>B</w:t>
      </w:r>
      <w:r w:rsidR="00677A75">
        <w:rPr>
          <w:i/>
          <w:iCs/>
          <w:szCs w:val="20"/>
        </w:rPr>
        <w:t>.</w:t>
      </w:r>
      <w:r w:rsidR="00BA39D3" w:rsidRPr="00DD79E5">
        <w:rPr>
          <w:i/>
          <w:iCs/>
          <w:szCs w:val="20"/>
        </w:rPr>
        <w:t xml:space="preserve"> cereus </w:t>
      </w:r>
      <w:r w:rsidR="00BA39D3" w:rsidRPr="00DD79E5">
        <w:rPr>
          <w:szCs w:val="20"/>
        </w:rPr>
        <w:t xml:space="preserve">may be occasionally present at low levels, they do not represent a direct threat to the health of infants. It is generally accepted that low levels are acceptable (&lt;100 cfu/g) and will not lead to illness as long as the product is prepared and handled according to the recommendations. </w:t>
      </w:r>
      <w:r w:rsidR="00677A75">
        <w:rPr>
          <w:szCs w:val="20"/>
        </w:rPr>
        <w:t xml:space="preserve">As such, food safety criteria for </w:t>
      </w:r>
      <w:r w:rsidR="00677A75" w:rsidRPr="00677A75">
        <w:rPr>
          <w:i/>
          <w:szCs w:val="20"/>
        </w:rPr>
        <w:t>B. cereus</w:t>
      </w:r>
      <w:r w:rsidR="00677A75">
        <w:rPr>
          <w:szCs w:val="20"/>
        </w:rPr>
        <w:t xml:space="preserve"> and </w:t>
      </w:r>
      <w:r w:rsidR="00677A75" w:rsidRPr="00677A75">
        <w:rPr>
          <w:i/>
          <w:szCs w:val="20"/>
        </w:rPr>
        <w:t>S. aureus</w:t>
      </w:r>
      <w:r w:rsidR="00677A75">
        <w:rPr>
          <w:szCs w:val="20"/>
        </w:rPr>
        <w:t xml:space="preserve"> are not necessary and limits for these microorganisms will be removed from the Code.</w:t>
      </w:r>
    </w:p>
    <w:p w14:paraId="5D79B646" w14:textId="76370B16" w:rsidR="00DD79E5" w:rsidRPr="00564B84" w:rsidRDefault="001052F6" w:rsidP="00564B84">
      <w:pPr>
        <w:pStyle w:val="Heading4"/>
      </w:pPr>
      <w:r>
        <w:t>2.</w:t>
      </w:r>
      <w:r w:rsidR="006334AF">
        <w:t>2</w:t>
      </w:r>
      <w:r>
        <w:t>.</w:t>
      </w:r>
      <w:r w:rsidR="006334AF">
        <w:t>4</w:t>
      </w:r>
      <w:r>
        <w:t xml:space="preserve">.2 </w:t>
      </w:r>
      <w:r w:rsidR="00843691">
        <w:tab/>
      </w:r>
      <w:r>
        <w:t>Process hygiene criteria</w:t>
      </w:r>
    </w:p>
    <w:p w14:paraId="72F4C48B" w14:textId="1A8DC762" w:rsidR="001052F6" w:rsidRDefault="00B755FB" w:rsidP="00DD79E5">
      <w:pPr>
        <w:rPr>
          <w:szCs w:val="20"/>
        </w:rPr>
      </w:pPr>
      <w:r w:rsidRPr="00B755FB">
        <w:rPr>
          <w:szCs w:val="20"/>
        </w:rPr>
        <w:t xml:space="preserve">Safe production of powdered infant formula </w:t>
      </w:r>
      <w:r w:rsidR="00242F16">
        <w:rPr>
          <w:szCs w:val="20"/>
        </w:rPr>
        <w:t>depends</w:t>
      </w:r>
      <w:r w:rsidRPr="00B755FB">
        <w:rPr>
          <w:szCs w:val="20"/>
        </w:rPr>
        <w:t xml:space="preserve"> on maintaining a high level of hygiene control to prevent entry and establishment of </w:t>
      </w:r>
      <w:r w:rsidRPr="00B755FB">
        <w:rPr>
          <w:i/>
          <w:szCs w:val="20"/>
        </w:rPr>
        <w:t>Salmonella</w:t>
      </w:r>
      <w:r w:rsidRPr="00B755FB">
        <w:rPr>
          <w:szCs w:val="20"/>
        </w:rPr>
        <w:t xml:space="preserve"> and </w:t>
      </w:r>
      <w:r w:rsidRPr="00B755FB">
        <w:rPr>
          <w:i/>
          <w:szCs w:val="20"/>
        </w:rPr>
        <w:t>Cronobacter</w:t>
      </w:r>
      <w:r w:rsidRPr="00B755FB">
        <w:rPr>
          <w:szCs w:val="20"/>
        </w:rPr>
        <w:t xml:space="preserve"> in processing areas. </w:t>
      </w:r>
      <w:r w:rsidR="00DD79E5" w:rsidRPr="00DD79E5">
        <w:rPr>
          <w:szCs w:val="20"/>
        </w:rPr>
        <w:t xml:space="preserve">Testing of </w:t>
      </w:r>
      <w:r w:rsidR="00564B84">
        <w:rPr>
          <w:szCs w:val="20"/>
        </w:rPr>
        <w:t xml:space="preserve">infant formula </w:t>
      </w:r>
      <w:r w:rsidR="00DD79E5" w:rsidRPr="00DD79E5">
        <w:rPr>
          <w:szCs w:val="20"/>
        </w:rPr>
        <w:t>product</w:t>
      </w:r>
      <w:r w:rsidR="00564B84">
        <w:rPr>
          <w:szCs w:val="20"/>
        </w:rPr>
        <w:t>s</w:t>
      </w:r>
      <w:r w:rsidR="00DD79E5" w:rsidRPr="00DD79E5">
        <w:rPr>
          <w:szCs w:val="20"/>
        </w:rPr>
        <w:t xml:space="preserve">, both end product and during processing, for Enterobacteriacea and </w:t>
      </w:r>
      <w:r w:rsidR="00677A75">
        <w:rPr>
          <w:szCs w:val="20"/>
        </w:rPr>
        <w:t>MAB</w:t>
      </w:r>
      <w:r w:rsidR="00DD79E5" w:rsidRPr="00DD79E5">
        <w:rPr>
          <w:szCs w:val="20"/>
        </w:rPr>
        <w:t xml:space="preserve"> is </w:t>
      </w:r>
      <w:r w:rsidR="00564B84">
        <w:rPr>
          <w:szCs w:val="20"/>
        </w:rPr>
        <w:t>useful</w:t>
      </w:r>
      <w:r w:rsidR="00DD79E5" w:rsidRPr="00DD79E5">
        <w:rPr>
          <w:szCs w:val="20"/>
        </w:rPr>
        <w:t xml:space="preserve"> to verify that the hygiene measures in place </w:t>
      </w:r>
      <w:r w:rsidR="00564B84">
        <w:rPr>
          <w:szCs w:val="20"/>
        </w:rPr>
        <w:t xml:space="preserve">within a manufacturing facility </w:t>
      </w:r>
      <w:r w:rsidR="00DD79E5" w:rsidRPr="00DD79E5">
        <w:rPr>
          <w:szCs w:val="20"/>
        </w:rPr>
        <w:t>are working</w:t>
      </w:r>
      <w:r w:rsidR="00564B84">
        <w:rPr>
          <w:szCs w:val="20"/>
        </w:rPr>
        <w:t xml:space="preserve"> as intended.</w:t>
      </w:r>
      <w:r w:rsidR="00F86C00">
        <w:rPr>
          <w:szCs w:val="20"/>
        </w:rPr>
        <w:t xml:space="preserve"> </w:t>
      </w:r>
      <w:r w:rsidR="00DD79E5" w:rsidRPr="00DD79E5">
        <w:rPr>
          <w:szCs w:val="20"/>
        </w:rPr>
        <w:t xml:space="preserve">This </w:t>
      </w:r>
      <w:r w:rsidR="00564B84">
        <w:rPr>
          <w:szCs w:val="20"/>
        </w:rPr>
        <w:t>provides assurance that</w:t>
      </w:r>
      <w:r w:rsidR="00DD79E5" w:rsidRPr="00DD79E5">
        <w:rPr>
          <w:szCs w:val="20"/>
        </w:rPr>
        <w:t xml:space="preserve"> the potential for</w:t>
      </w:r>
      <w:r w:rsidR="008371E7">
        <w:rPr>
          <w:szCs w:val="20"/>
        </w:rPr>
        <w:t xml:space="preserve"> pathogens such as</w:t>
      </w:r>
      <w:r w:rsidR="00DD79E5" w:rsidRPr="00DD79E5">
        <w:rPr>
          <w:szCs w:val="20"/>
        </w:rPr>
        <w:t xml:space="preserve"> </w:t>
      </w:r>
      <w:r w:rsidR="00DD79E5" w:rsidRPr="00DD79E5">
        <w:rPr>
          <w:i/>
          <w:szCs w:val="20"/>
        </w:rPr>
        <w:t>Salmonella</w:t>
      </w:r>
      <w:r w:rsidR="00DD79E5" w:rsidRPr="00DD79E5">
        <w:rPr>
          <w:szCs w:val="20"/>
        </w:rPr>
        <w:t xml:space="preserve"> and </w:t>
      </w:r>
      <w:r w:rsidR="0044766F">
        <w:rPr>
          <w:i/>
          <w:szCs w:val="20"/>
        </w:rPr>
        <w:t>Cronobacter</w:t>
      </w:r>
      <w:r w:rsidR="00DD79E5" w:rsidRPr="00DD79E5">
        <w:rPr>
          <w:szCs w:val="20"/>
        </w:rPr>
        <w:t xml:space="preserve"> to be in the processing environment and to cross-contaminate infant formula products</w:t>
      </w:r>
      <w:r w:rsidR="00564B84">
        <w:rPr>
          <w:szCs w:val="20"/>
        </w:rPr>
        <w:t xml:space="preserve"> is being controlled</w:t>
      </w:r>
      <w:r w:rsidR="00DD79E5" w:rsidRPr="00DD79E5">
        <w:rPr>
          <w:szCs w:val="20"/>
        </w:rPr>
        <w:t>.</w:t>
      </w:r>
      <w:r w:rsidR="003139D3">
        <w:rPr>
          <w:szCs w:val="20"/>
        </w:rPr>
        <w:t xml:space="preserve"> </w:t>
      </w:r>
      <w:r w:rsidR="00DD79E5" w:rsidRPr="00DD79E5">
        <w:rPr>
          <w:szCs w:val="20"/>
        </w:rPr>
        <w:t xml:space="preserve">Failure to meet </w:t>
      </w:r>
      <w:r w:rsidR="00F86C00">
        <w:rPr>
          <w:szCs w:val="20"/>
        </w:rPr>
        <w:t xml:space="preserve">criteria for Enterobacteriacea and MAB </w:t>
      </w:r>
      <w:r w:rsidR="003139D3">
        <w:rPr>
          <w:szCs w:val="20"/>
        </w:rPr>
        <w:t>may</w:t>
      </w:r>
      <w:r w:rsidR="00DD79E5" w:rsidRPr="00DD79E5">
        <w:rPr>
          <w:szCs w:val="20"/>
        </w:rPr>
        <w:t xml:space="preserve"> be a trigger to examine environmental and process hygiene controls and to increase sampling for the pathogens of concern.</w:t>
      </w:r>
    </w:p>
    <w:p w14:paraId="6C62C6F4" w14:textId="5915AD76" w:rsidR="001052F6" w:rsidRDefault="001052F6" w:rsidP="00D9175E">
      <w:pPr>
        <w:rPr>
          <w:szCs w:val="20"/>
        </w:rPr>
      </w:pPr>
    </w:p>
    <w:tbl>
      <w:tblPr>
        <w:tblStyle w:val="TableGrid"/>
        <w:tblW w:w="92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1019"/>
        <w:gridCol w:w="933"/>
        <w:gridCol w:w="2143"/>
        <w:gridCol w:w="2069"/>
      </w:tblGrid>
      <w:tr w:rsidR="008371E7" w:rsidRPr="007F627F" w14:paraId="2ACE01CE" w14:textId="6365A588" w:rsidTr="00B91CB6">
        <w:tc>
          <w:tcPr>
            <w:tcW w:w="3117" w:type="dxa"/>
          </w:tcPr>
          <w:p w14:paraId="3F429EF6" w14:textId="17EB97D5" w:rsidR="008371E7" w:rsidRPr="0037182C" w:rsidRDefault="008371E7" w:rsidP="008371E7">
            <w:pPr>
              <w:rPr>
                <w:iCs/>
                <w:sz w:val="18"/>
                <w:szCs w:val="20"/>
                <w:lang w:val="en-US"/>
              </w:rPr>
            </w:pPr>
            <w:r w:rsidRPr="0037182C">
              <w:rPr>
                <w:b/>
                <w:sz w:val="18"/>
                <w:lang w:eastAsia="en-AU" w:bidi="ar-SA"/>
              </w:rPr>
              <w:t xml:space="preserve">Powdered infant formula  </w:t>
            </w:r>
          </w:p>
        </w:tc>
        <w:tc>
          <w:tcPr>
            <w:tcW w:w="1019" w:type="dxa"/>
          </w:tcPr>
          <w:p w14:paraId="79D921B3" w14:textId="77777777" w:rsidR="008371E7" w:rsidRPr="0037182C" w:rsidRDefault="008371E7" w:rsidP="002D3E1C">
            <w:pPr>
              <w:rPr>
                <w:b/>
                <w:iCs/>
                <w:sz w:val="18"/>
                <w:szCs w:val="20"/>
                <w:lang w:val="en-US"/>
              </w:rPr>
            </w:pPr>
            <w:r w:rsidRPr="0037182C">
              <w:rPr>
                <w:b/>
                <w:iCs/>
                <w:sz w:val="18"/>
                <w:szCs w:val="20"/>
                <w:lang w:val="en-US"/>
              </w:rPr>
              <w:t>(n)</w:t>
            </w:r>
          </w:p>
        </w:tc>
        <w:tc>
          <w:tcPr>
            <w:tcW w:w="933" w:type="dxa"/>
          </w:tcPr>
          <w:p w14:paraId="19EEC42B" w14:textId="77777777" w:rsidR="008371E7" w:rsidRPr="0037182C" w:rsidRDefault="008371E7" w:rsidP="002D3E1C">
            <w:pPr>
              <w:rPr>
                <w:b/>
                <w:iCs/>
                <w:sz w:val="18"/>
                <w:szCs w:val="20"/>
                <w:lang w:val="en-US"/>
              </w:rPr>
            </w:pPr>
            <w:r w:rsidRPr="0037182C">
              <w:rPr>
                <w:b/>
                <w:iCs/>
                <w:sz w:val="18"/>
                <w:szCs w:val="20"/>
                <w:lang w:val="en-US"/>
              </w:rPr>
              <w:t>(c)</w:t>
            </w:r>
          </w:p>
        </w:tc>
        <w:tc>
          <w:tcPr>
            <w:tcW w:w="2143" w:type="dxa"/>
          </w:tcPr>
          <w:p w14:paraId="77E86DEC" w14:textId="77777777" w:rsidR="008371E7" w:rsidRPr="0037182C" w:rsidRDefault="008371E7" w:rsidP="002D3E1C">
            <w:pPr>
              <w:rPr>
                <w:b/>
                <w:iCs/>
                <w:sz w:val="18"/>
                <w:szCs w:val="20"/>
                <w:lang w:val="en-US"/>
              </w:rPr>
            </w:pPr>
            <w:r w:rsidRPr="0037182C">
              <w:rPr>
                <w:b/>
                <w:iCs/>
                <w:sz w:val="18"/>
                <w:szCs w:val="20"/>
                <w:lang w:val="en-US"/>
              </w:rPr>
              <w:t>(m)</w:t>
            </w:r>
          </w:p>
        </w:tc>
        <w:tc>
          <w:tcPr>
            <w:tcW w:w="2069" w:type="dxa"/>
          </w:tcPr>
          <w:p w14:paraId="4D8C4738" w14:textId="49B90FD4" w:rsidR="008371E7" w:rsidRPr="0037182C" w:rsidRDefault="008371E7" w:rsidP="002D3E1C">
            <w:pPr>
              <w:rPr>
                <w:b/>
                <w:iCs/>
                <w:sz w:val="18"/>
                <w:szCs w:val="20"/>
                <w:lang w:val="en-US"/>
              </w:rPr>
            </w:pPr>
            <w:r w:rsidRPr="0037182C">
              <w:rPr>
                <w:b/>
                <w:iCs/>
                <w:sz w:val="18"/>
                <w:szCs w:val="20"/>
                <w:lang w:val="en-US"/>
              </w:rPr>
              <w:t>(M)</w:t>
            </w:r>
          </w:p>
        </w:tc>
      </w:tr>
      <w:tr w:rsidR="008371E7" w:rsidRPr="000C76B5" w14:paraId="086DB6A1" w14:textId="19951001" w:rsidTr="00B91CB6">
        <w:tc>
          <w:tcPr>
            <w:tcW w:w="3117" w:type="dxa"/>
          </w:tcPr>
          <w:p w14:paraId="3C27F41C" w14:textId="20B4AE52" w:rsidR="008371E7" w:rsidRPr="0037182C" w:rsidRDefault="008371E7" w:rsidP="002D3E1C">
            <w:pPr>
              <w:rPr>
                <w:i/>
                <w:iCs/>
                <w:sz w:val="18"/>
                <w:szCs w:val="20"/>
                <w:lang w:val="en-US"/>
              </w:rPr>
            </w:pPr>
          </w:p>
        </w:tc>
        <w:tc>
          <w:tcPr>
            <w:tcW w:w="1019" w:type="dxa"/>
          </w:tcPr>
          <w:p w14:paraId="63CC9975" w14:textId="77777777" w:rsidR="008371E7" w:rsidRPr="0037182C" w:rsidRDefault="008371E7" w:rsidP="002D3E1C">
            <w:pPr>
              <w:rPr>
                <w:iCs/>
                <w:sz w:val="18"/>
                <w:szCs w:val="20"/>
                <w:lang w:val="en-US"/>
              </w:rPr>
            </w:pPr>
          </w:p>
        </w:tc>
        <w:tc>
          <w:tcPr>
            <w:tcW w:w="933" w:type="dxa"/>
          </w:tcPr>
          <w:p w14:paraId="3B27FBB0" w14:textId="77777777" w:rsidR="008371E7" w:rsidRPr="0037182C" w:rsidRDefault="008371E7" w:rsidP="002D3E1C">
            <w:pPr>
              <w:rPr>
                <w:iCs/>
                <w:sz w:val="18"/>
                <w:szCs w:val="20"/>
                <w:lang w:val="en-US"/>
              </w:rPr>
            </w:pPr>
          </w:p>
        </w:tc>
        <w:tc>
          <w:tcPr>
            <w:tcW w:w="2143" w:type="dxa"/>
          </w:tcPr>
          <w:p w14:paraId="07EF7525" w14:textId="77777777" w:rsidR="008371E7" w:rsidRPr="0037182C" w:rsidRDefault="008371E7" w:rsidP="002D3E1C">
            <w:pPr>
              <w:rPr>
                <w:iCs/>
                <w:sz w:val="18"/>
                <w:szCs w:val="20"/>
              </w:rPr>
            </w:pPr>
          </w:p>
        </w:tc>
        <w:tc>
          <w:tcPr>
            <w:tcW w:w="2069" w:type="dxa"/>
          </w:tcPr>
          <w:p w14:paraId="0693B5FB" w14:textId="77777777" w:rsidR="008371E7" w:rsidRPr="0037182C" w:rsidRDefault="008371E7" w:rsidP="002D3E1C">
            <w:pPr>
              <w:rPr>
                <w:iCs/>
                <w:sz w:val="18"/>
                <w:szCs w:val="20"/>
              </w:rPr>
            </w:pPr>
          </w:p>
        </w:tc>
      </w:tr>
      <w:tr w:rsidR="008371E7" w14:paraId="3D5F370E" w14:textId="6BB919D3" w:rsidTr="00B91CB6">
        <w:tc>
          <w:tcPr>
            <w:tcW w:w="3117" w:type="dxa"/>
          </w:tcPr>
          <w:p w14:paraId="7403FC14" w14:textId="75075F6D" w:rsidR="008371E7" w:rsidRPr="0037182C" w:rsidRDefault="008371E7" w:rsidP="002D3E1C">
            <w:pPr>
              <w:rPr>
                <w:i/>
                <w:iCs/>
                <w:sz w:val="18"/>
                <w:szCs w:val="20"/>
                <w:lang w:val="en-US"/>
              </w:rPr>
            </w:pPr>
            <w:r w:rsidRPr="0037182C">
              <w:rPr>
                <w:iCs/>
                <w:sz w:val="18"/>
                <w:szCs w:val="20"/>
              </w:rPr>
              <w:t>Mesophilic Aerobic Bacteria</w:t>
            </w:r>
          </w:p>
        </w:tc>
        <w:tc>
          <w:tcPr>
            <w:tcW w:w="1019" w:type="dxa"/>
          </w:tcPr>
          <w:p w14:paraId="57EA70F1" w14:textId="01F7419D" w:rsidR="008371E7" w:rsidRPr="0037182C" w:rsidRDefault="008371E7" w:rsidP="002D3E1C">
            <w:pPr>
              <w:rPr>
                <w:iCs/>
                <w:sz w:val="18"/>
                <w:szCs w:val="20"/>
                <w:lang w:val="en-US"/>
              </w:rPr>
            </w:pPr>
            <w:r w:rsidRPr="0037182C">
              <w:rPr>
                <w:iCs/>
                <w:sz w:val="18"/>
                <w:szCs w:val="20"/>
                <w:lang w:val="en-US"/>
              </w:rPr>
              <w:t>5</w:t>
            </w:r>
          </w:p>
        </w:tc>
        <w:tc>
          <w:tcPr>
            <w:tcW w:w="933" w:type="dxa"/>
          </w:tcPr>
          <w:p w14:paraId="57FBBA1F" w14:textId="6A0230EC" w:rsidR="008371E7" w:rsidRPr="0037182C" w:rsidRDefault="008371E7" w:rsidP="002D3E1C">
            <w:pPr>
              <w:rPr>
                <w:iCs/>
                <w:sz w:val="18"/>
                <w:szCs w:val="20"/>
                <w:lang w:val="en-US"/>
              </w:rPr>
            </w:pPr>
            <w:r w:rsidRPr="0037182C">
              <w:rPr>
                <w:iCs/>
                <w:sz w:val="18"/>
                <w:szCs w:val="20"/>
                <w:lang w:val="en-US"/>
              </w:rPr>
              <w:t>2</w:t>
            </w:r>
          </w:p>
        </w:tc>
        <w:tc>
          <w:tcPr>
            <w:tcW w:w="2143" w:type="dxa"/>
          </w:tcPr>
          <w:p w14:paraId="6F2018AA" w14:textId="11208AAD" w:rsidR="008371E7" w:rsidRPr="0037182C" w:rsidRDefault="008371E7" w:rsidP="002D3E1C">
            <w:pPr>
              <w:rPr>
                <w:iCs/>
                <w:sz w:val="18"/>
                <w:szCs w:val="20"/>
                <w:lang w:val="en-US"/>
              </w:rPr>
            </w:pPr>
            <w:r w:rsidRPr="0037182C">
              <w:rPr>
                <w:iCs/>
                <w:sz w:val="18"/>
                <w:szCs w:val="20"/>
              </w:rPr>
              <w:t>500/g</w:t>
            </w:r>
          </w:p>
        </w:tc>
        <w:tc>
          <w:tcPr>
            <w:tcW w:w="2069" w:type="dxa"/>
          </w:tcPr>
          <w:p w14:paraId="3720A3F9" w14:textId="5BA10903" w:rsidR="008371E7" w:rsidRPr="0037182C" w:rsidRDefault="008371E7" w:rsidP="002D3E1C">
            <w:pPr>
              <w:rPr>
                <w:iCs/>
                <w:sz w:val="18"/>
                <w:szCs w:val="20"/>
              </w:rPr>
            </w:pPr>
            <w:r w:rsidRPr="0037182C">
              <w:rPr>
                <w:iCs/>
                <w:sz w:val="18"/>
                <w:szCs w:val="20"/>
              </w:rPr>
              <w:t>5000/g</w:t>
            </w:r>
          </w:p>
        </w:tc>
      </w:tr>
      <w:tr w:rsidR="008371E7" w14:paraId="2228076E" w14:textId="7A3F45B8" w:rsidTr="00B91CB6">
        <w:tc>
          <w:tcPr>
            <w:tcW w:w="3117" w:type="dxa"/>
          </w:tcPr>
          <w:p w14:paraId="130BFFA9" w14:textId="217810DA" w:rsidR="008371E7" w:rsidRPr="0037182C" w:rsidRDefault="008371E7" w:rsidP="002D3E1C">
            <w:pPr>
              <w:rPr>
                <w:i/>
                <w:iCs/>
                <w:sz w:val="18"/>
                <w:szCs w:val="20"/>
                <w:lang w:val="en-US"/>
              </w:rPr>
            </w:pPr>
          </w:p>
        </w:tc>
        <w:tc>
          <w:tcPr>
            <w:tcW w:w="1019" w:type="dxa"/>
          </w:tcPr>
          <w:p w14:paraId="4E5BB69C" w14:textId="77777777" w:rsidR="008371E7" w:rsidRPr="0037182C" w:rsidRDefault="008371E7" w:rsidP="002D3E1C">
            <w:pPr>
              <w:rPr>
                <w:iCs/>
                <w:sz w:val="18"/>
                <w:szCs w:val="20"/>
                <w:lang w:val="en-US"/>
              </w:rPr>
            </w:pPr>
          </w:p>
        </w:tc>
        <w:tc>
          <w:tcPr>
            <w:tcW w:w="933" w:type="dxa"/>
          </w:tcPr>
          <w:p w14:paraId="2F794BB3" w14:textId="77777777" w:rsidR="008371E7" w:rsidRPr="0037182C" w:rsidRDefault="008371E7" w:rsidP="002D3E1C">
            <w:pPr>
              <w:rPr>
                <w:iCs/>
                <w:sz w:val="18"/>
                <w:szCs w:val="20"/>
                <w:lang w:val="en-US"/>
              </w:rPr>
            </w:pPr>
          </w:p>
        </w:tc>
        <w:tc>
          <w:tcPr>
            <w:tcW w:w="2143" w:type="dxa"/>
          </w:tcPr>
          <w:p w14:paraId="5B59E160" w14:textId="77777777" w:rsidR="008371E7" w:rsidRPr="0037182C" w:rsidRDefault="008371E7" w:rsidP="002D3E1C">
            <w:pPr>
              <w:rPr>
                <w:iCs/>
                <w:sz w:val="18"/>
                <w:szCs w:val="20"/>
              </w:rPr>
            </w:pPr>
          </w:p>
        </w:tc>
        <w:tc>
          <w:tcPr>
            <w:tcW w:w="2069" w:type="dxa"/>
          </w:tcPr>
          <w:p w14:paraId="6862A1DF" w14:textId="77777777" w:rsidR="008371E7" w:rsidRPr="0037182C" w:rsidRDefault="008371E7" w:rsidP="002D3E1C">
            <w:pPr>
              <w:rPr>
                <w:iCs/>
                <w:sz w:val="18"/>
                <w:szCs w:val="20"/>
              </w:rPr>
            </w:pPr>
          </w:p>
        </w:tc>
      </w:tr>
      <w:tr w:rsidR="008371E7" w14:paraId="362DE95B" w14:textId="2AE8D5C9" w:rsidTr="00B91CB6">
        <w:tc>
          <w:tcPr>
            <w:tcW w:w="3117" w:type="dxa"/>
          </w:tcPr>
          <w:p w14:paraId="278CBED7" w14:textId="162B4BAC" w:rsidR="008371E7" w:rsidRPr="0037182C" w:rsidRDefault="008371E7" w:rsidP="008371E7">
            <w:pPr>
              <w:tabs>
                <w:tab w:val="left" w:pos="605"/>
              </w:tabs>
              <w:rPr>
                <w:i/>
                <w:iCs/>
                <w:sz w:val="18"/>
                <w:szCs w:val="20"/>
                <w:lang w:val="en-US"/>
              </w:rPr>
            </w:pPr>
            <w:r w:rsidRPr="0037182C">
              <w:rPr>
                <w:iCs/>
                <w:sz w:val="18"/>
                <w:szCs w:val="20"/>
              </w:rPr>
              <w:t>Enterobacteriaceae</w:t>
            </w:r>
          </w:p>
        </w:tc>
        <w:tc>
          <w:tcPr>
            <w:tcW w:w="1019" w:type="dxa"/>
          </w:tcPr>
          <w:p w14:paraId="5D82086F" w14:textId="4BE39F7E" w:rsidR="008371E7" w:rsidRPr="0037182C" w:rsidRDefault="008371E7" w:rsidP="008371E7">
            <w:pPr>
              <w:tabs>
                <w:tab w:val="left" w:pos="605"/>
              </w:tabs>
              <w:rPr>
                <w:iCs/>
                <w:sz w:val="18"/>
                <w:szCs w:val="20"/>
                <w:lang w:val="en-US"/>
              </w:rPr>
            </w:pPr>
            <w:r w:rsidRPr="0037182C">
              <w:rPr>
                <w:iCs/>
                <w:sz w:val="18"/>
                <w:szCs w:val="20"/>
                <w:lang w:val="en-US"/>
              </w:rPr>
              <w:t>5</w:t>
            </w:r>
          </w:p>
        </w:tc>
        <w:tc>
          <w:tcPr>
            <w:tcW w:w="933" w:type="dxa"/>
          </w:tcPr>
          <w:p w14:paraId="608A6B5B" w14:textId="766A71B9" w:rsidR="008371E7" w:rsidRPr="0037182C" w:rsidRDefault="008371E7" w:rsidP="008371E7">
            <w:pPr>
              <w:tabs>
                <w:tab w:val="left" w:pos="605"/>
              </w:tabs>
              <w:rPr>
                <w:iCs/>
                <w:sz w:val="18"/>
                <w:szCs w:val="20"/>
                <w:lang w:val="en-US"/>
              </w:rPr>
            </w:pPr>
            <w:r w:rsidRPr="0037182C">
              <w:rPr>
                <w:iCs/>
                <w:sz w:val="18"/>
                <w:szCs w:val="20"/>
                <w:lang w:val="en-US"/>
              </w:rPr>
              <w:t>2</w:t>
            </w:r>
          </w:p>
        </w:tc>
        <w:tc>
          <w:tcPr>
            <w:tcW w:w="2143" w:type="dxa"/>
          </w:tcPr>
          <w:p w14:paraId="39456484" w14:textId="6C99B4F3" w:rsidR="008371E7" w:rsidRPr="0037182C" w:rsidRDefault="008371E7" w:rsidP="008371E7">
            <w:pPr>
              <w:tabs>
                <w:tab w:val="left" w:pos="605"/>
              </w:tabs>
              <w:rPr>
                <w:iCs/>
                <w:sz w:val="18"/>
                <w:szCs w:val="20"/>
              </w:rPr>
            </w:pPr>
            <w:r w:rsidRPr="0037182C">
              <w:rPr>
                <w:iCs/>
                <w:sz w:val="18"/>
                <w:szCs w:val="20"/>
              </w:rPr>
              <w:t>0/10g</w:t>
            </w:r>
          </w:p>
        </w:tc>
        <w:tc>
          <w:tcPr>
            <w:tcW w:w="2069" w:type="dxa"/>
          </w:tcPr>
          <w:p w14:paraId="415E3777" w14:textId="6835EE55" w:rsidR="008371E7" w:rsidRPr="0037182C" w:rsidRDefault="008371E7" w:rsidP="008371E7">
            <w:pPr>
              <w:tabs>
                <w:tab w:val="left" w:pos="605"/>
              </w:tabs>
              <w:rPr>
                <w:iCs/>
                <w:sz w:val="18"/>
                <w:szCs w:val="20"/>
              </w:rPr>
            </w:pPr>
            <w:r w:rsidRPr="0037182C">
              <w:rPr>
                <w:iCs/>
                <w:sz w:val="18"/>
                <w:szCs w:val="20"/>
              </w:rPr>
              <w:t>N/A</w:t>
            </w:r>
          </w:p>
        </w:tc>
      </w:tr>
    </w:tbl>
    <w:p w14:paraId="4ACB3899" w14:textId="77777777" w:rsidR="008371E7" w:rsidRDefault="008371E7" w:rsidP="00D9175E">
      <w:pPr>
        <w:rPr>
          <w:szCs w:val="20"/>
        </w:rPr>
      </w:pPr>
    </w:p>
    <w:p w14:paraId="777B7C52" w14:textId="77777777" w:rsidR="003139D3" w:rsidRPr="00BB14C2" w:rsidRDefault="003139D3" w:rsidP="003139D3">
      <w:pPr>
        <w:rPr>
          <w:iCs/>
          <w:szCs w:val="20"/>
          <w:lang w:val="en-US"/>
        </w:rPr>
      </w:pPr>
      <w:r w:rsidRPr="00BB14C2">
        <w:rPr>
          <w:iCs/>
          <w:szCs w:val="20"/>
          <w:lang w:val="en-US"/>
        </w:rPr>
        <w:t>Where:</w:t>
      </w:r>
      <w:r w:rsidRPr="00BB14C2">
        <w:rPr>
          <w:iCs/>
          <w:szCs w:val="20"/>
          <w:lang w:val="en-US"/>
        </w:rPr>
        <w:tab/>
        <w:t>n = number of sample units</w:t>
      </w:r>
    </w:p>
    <w:p w14:paraId="575D4D99" w14:textId="77777777" w:rsidR="003139D3" w:rsidRPr="00BB14C2" w:rsidRDefault="003139D3" w:rsidP="003139D3">
      <w:pPr>
        <w:rPr>
          <w:iCs/>
          <w:szCs w:val="20"/>
          <w:lang w:val="en-US"/>
        </w:rPr>
      </w:pPr>
      <w:r w:rsidRPr="00BB14C2">
        <w:rPr>
          <w:iCs/>
          <w:szCs w:val="20"/>
          <w:lang w:val="en-US"/>
        </w:rPr>
        <w:tab/>
        <w:t xml:space="preserve"> </w:t>
      </w:r>
      <w:r>
        <w:rPr>
          <w:iCs/>
          <w:szCs w:val="20"/>
          <w:lang w:val="en-US"/>
        </w:rPr>
        <w:tab/>
      </w:r>
      <w:r w:rsidRPr="00BB14C2">
        <w:rPr>
          <w:iCs/>
          <w:szCs w:val="20"/>
          <w:lang w:val="en-US"/>
        </w:rPr>
        <w:t>c = the number of sample units allowed to exceed m</w:t>
      </w:r>
    </w:p>
    <w:p w14:paraId="3176D182" w14:textId="77777777" w:rsidR="003139D3" w:rsidRDefault="003139D3" w:rsidP="003139D3">
      <w:pPr>
        <w:rPr>
          <w:iCs/>
          <w:szCs w:val="20"/>
          <w:lang w:val="en-US"/>
        </w:rPr>
      </w:pPr>
      <w:r w:rsidRPr="00BB14C2">
        <w:rPr>
          <w:iCs/>
          <w:szCs w:val="20"/>
          <w:lang w:val="en-US"/>
        </w:rPr>
        <w:t xml:space="preserve">                </w:t>
      </w:r>
      <w:r>
        <w:rPr>
          <w:iCs/>
          <w:szCs w:val="20"/>
          <w:lang w:val="en-US"/>
        </w:rPr>
        <w:tab/>
      </w:r>
      <w:r w:rsidRPr="00BB14C2">
        <w:rPr>
          <w:iCs/>
          <w:szCs w:val="20"/>
          <w:lang w:val="en-US"/>
        </w:rPr>
        <w:t>m = the acceptable microbiological limit</w:t>
      </w:r>
    </w:p>
    <w:p w14:paraId="235AB603" w14:textId="087F70AF" w:rsidR="003139D3" w:rsidRPr="00BB14C2" w:rsidRDefault="00A01852" w:rsidP="003139D3">
      <w:pPr>
        <w:rPr>
          <w:iCs/>
          <w:szCs w:val="20"/>
          <w:lang w:val="en-US"/>
        </w:rPr>
      </w:pPr>
      <w:r>
        <w:rPr>
          <w:iCs/>
          <w:szCs w:val="20"/>
          <w:lang w:val="en-US"/>
        </w:rPr>
        <w:tab/>
      </w:r>
      <w:r>
        <w:rPr>
          <w:iCs/>
          <w:szCs w:val="20"/>
          <w:lang w:val="en-US"/>
        </w:rPr>
        <w:tab/>
        <w:t>M = the limit which must not be exceeded</w:t>
      </w:r>
    </w:p>
    <w:p w14:paraId="0A19107C" w14:textId="7FC6B27E" w:rsidR="003139D3" w:rsidRDefault="003139D3" w:rsidP="00D9175E">
      <w:pPr>
        <w:rPr>
          <w:szCs w:val="20"/>
        </w:rPr>
      </w:pPr>
    </w:p>
    <w:p w14:paraId="52DCE840" w14:textId="403206C4" w:rsidR="003139D3" w:rsidRDefault="00DE6C9C" w:rsidP="00D9175E">
      <w:pPr>
        <w:rPr>
          <w:szCs w:val="20"/>
        </w:rPr>
      </w:pPr>
      <w:r>
        <w:rPr>
          <w:szCs w:val="20"/>
        </w:rPr>
        <w:t>These process hygiene criteria apply to the finished product or at any other point in manufacture that provides the information necessary to verify process control.</w:t>
      </w:r>
    </w:p>
    <w:p w14:paraId="5304ABD7" w14:textId="77777777" w:rsidR="00EE333F" w:rsidRDefault="00EE333F" w:rsidP="00D9175E">
      <w:pPr>
        <w:rPr>
          <w:szCs w:val="20"/>
        </w:rPr>
      </w:pPr>
    </w:p>
    <w:p w14:paraId="7705ED74" w14:textId="70431962" w:rsidR="00B755FB" w:rsidRDefault="00EE333F" w:rsidP="00EE333F">
      <w:pPr>
        <w:rPr>
          <w:szCs w:val="20"/>
        </w:rPr>
      </w:pPr>
      <w:r>
        <w:rPr>
          <w:szCs w:val="20"/>
        </w:rPr>
        <w:t>P</w:t>
      </w:r>
      <w:r w:rsidR="00867651">
        <w:rPr>
          <w:szCs w:val="20"/>
        </w:rPr>
        <w:t xml:space="preserve">rocess hygiene criteria </w:t>
      </w:r>
      <w:r>
        <w:rPr>
          <w:szCs w:val="20"/>
        </w:rPr>
        <w:t xml:space="preserve">for </w:t>
      </w:r>
      <w:r w:rsidRPr="00EE333F">
        <w:rPr>
          <w:szCs w:val="20"/>
        </w:rPr>
        <w:t>Mesophilic Aerobic Bacteria</w:t>
      </w:r>
      <w:r>
        <w:rPr>
          <w:szCs w:val="20"/>
        </w:rPr>
        <w:t xml:space="preserve"> and </w:t>
      </w:r>
      <w:r w:rsidRPr="00EE333F">
        <w:rPr>
          <w:szCs w:val="20"/>
        </w:rPr>
        <w:t>Enterobacteriaceae</w:t>
      </w:r>
      <w:r>
        <w:rPr>
          <w:szCs w:val="20"/>
        </w:rPr>
        <w:t xml:space="preserve"> in powdered infant formula</w:t>
      </w:r>
      <w:r w:rsidR="00D73F28">
        <w:rPr>
          <w:szCs w:val="20"/>
        </w:rPr>
        <w:t>e</w:t>
      </w:r>
      <w:r>
        <w:rPr>
          <w:szCs w:val="20"/>
        </w:rPr>
        <w:t xml:space="preserve"> </w:t>
      </w:r>
      <w:r w:rsidR="00867651">
        <w:rPr>
          <w:szCs w:val="20"/>
        </w:rPr>
        <w:t xml:space="preserve">will be incorporated into </w:t>
      </w:r>
      <w:r w:rsidR="00D73F28">
        <w:rPr>
          <w:szCs w:val="20"/>
        </w:rPr>
        <w:t xml:space="preserve">a </w:t>
      </w:r>
      <w:r w:rsidR="00867651">
        <w:rPr>
          <w:szCs w:val="20"/>
        </w:rPr>
        <w:t xml:space="preserve">guidance document that will be </w:t>
      </w:r>
      <w:r w:rsidR="003D69F8">
        <w:rPr>
          <w:szCs w:val="20"/>
        </w:rPr>
        <w:t xml:space="preserve">available on the FSANZ </w:t>
      </w:r>
      <w:r w:rsidR="003D69F8" w:rsidRPr="00E76560">
        <w:rPr>
          <w:szCs w:val="20"/>
        </w:rPr>
        <w:t xml:space="preserve">website and is </w:t>
      </w:r>
      <w:r w:rsidR="00E76560" w:rsidRPr="00E76560">
        <w:rPr>
          <w:szCs w:val="20"/>
        </w:rPr>
        <w:t>presented</w:t>
      </w:r>
      <w:r w:rsidR="003D69F8" w:rsidRPr="00E76560">
        <w:rPr>
          <w:szCs w:val="20"/>
        </w:rPr>
        <w:t xml:space="preserve"> in Supporting Document 2.</w:t>
      </w:r>
    </w:p>
    <w:p w14:paraId="4B52699D" w14:textId="051FE905" w:rsidR="001052F6" w:rsidRDefault="001052F6" w:rsidP="001052F6">
      <w:pPr>
        <w:pStyle w:val="Heading4"/>
      </w:pPr>
      <w:r>
        <w:t>2.</w:t>
      </w:r>
      <w:r w:rsidR="006334AF">
        <w:t>2</w:t>
      </w:r>
      <w:r>
        <w:t>.</w:t>
      </w:r>
      <w:r w:rsidR="006334AF">
        <w:t>4</w:t>
      </w:r>
      <w:r>
        <w:t xml:space="preserve">.3 </w:t>
      </w:r>
      <w:r w:rsidR="00843691">
        <w:tab/>
      </w:r>
      <w:r>
        <w:t>Sampling plans</w:t>
      </w:r>
    </w:p>
    <w:p w14:paraId="6B39B89B" w14:textId="77777777" w:rsidR="001052F6" w:rsidRDefault="001052F6" w:rsidP="001052F6">
      <w:r>
        <w:t>There are a number of factors to take into account when choosing a sampling plan including (ICMSF, 2002):</w:t>
      </w:r>
    </w:p>
    <w:p w14:paraId="7C280320" w14:textId="77777777" w:rsidR="00A73858" w:rsidRDefault="00A73858" w:rsidP="001052F6"/>
    <w:p w14:paraId="206BF823" w14:textId="77777777" w:rsidR="001052F6" w:rsidRDefault="001052F6" w:rsidP="00B91CB6">
      <w:pPr>
        <w:pStyle w:val="FSBullet1"/>
      </w:pPr>
      <w:r>
        <w:t>the risk posed by the hazard (severity and likelihood of occurrence)</w:t>
      </w:r>
    </w:p>
    <w:p w14:paraId="691B2ADB" w14:textId="77777777" w:rsidR="001052F6" w:rsidRDefault="001052F6" w:rsidP="00B91CB6">
      <w:pPr>
        <w:pStyle w:val="FSBullet1"/>
      </w:pPr>
      <w:r>
        <w:t xml:space="preserve">the susceptibility of the target group </w:t>
      </w:r>
    </w:p>
    <w:p w14:paraId="52481316" w14:textId="77777777" w:rsidR="001052F6" w:rsidRPr="00253D84" w:rsidRDefault="001052F6" w:rsidP="00B91CB6">
      <w:pPr>
        <w:pStyle w:val="FSBullet1"/>
      </w:pPr>
      <w:r>
        <w:t>the desired statistical probability of accepting/rejecting a contaminated lot.</w:t>
      </w:r>
    </w:p>
    <w:p w14:paraId="321112AD" w14:textId="77777777" w:rsidR="001052F6" w:rsidRPr="00253D84" w:rsidRDefault="001052F6" w:rsidP="001052F6"/>
    <w:p w14:paraId="2262713A" w14:textId="77777777" w:rsidR="0037182C" w:rsidRDefault="001052F6" w:rsidP="001052F6">
      <w:r>
        <w:t>The ICMSF recommend sampling plans based on the degree of concern (e.g. severity of the hazard) and the conditions in which food is expected to be handled and consumed (e.g. if it will be eaten cooked so that the risk is reduced or whether there is potential for growth prior to consumption and therefore an increase in risk). These are described as “cases” with the highest, case 15, being the most stringent sampling plan and applicable to sever</w:t>
      </w:r>
      <w:r w:rsidR="001709A3">
        <w:t>e</w:t>
      </w:r>
      <w:r>
        <w:t xml:space="preserve"> hazards and foods for susceptible populations.</w:t>
      </w:r>
      <w:r w:rsidR="0037182C">
        <w:br w:type="page"/>
      </w:r>
    </w:p>
    <w:p w14:paraId="33585394" w14:textId="19BF5FEC" w:rsidR="001052F6" w:rsidRDefault="001052F6" w:rsidP="001052F6">
      <w:r w:rsidRPr="00A70861">
        <w:rPr>
          <w:i/>
        </w:rPr>
        <w:lastRenderedPageBreak/>
        <w:t>Salmonella</w:t>
      </w:r>
      <w:r>
        <w:t xml:space="preserve"> and </w:t>
      </w:r>
      <w:r w:rsidRPr="00A70861">
        <w:rPr>
          <w:i/>
        </w:rPr>
        <w:t>Cronobacter</w:t>
      </w:r>
      <w:r>
        <w:t xml:space="preserve"> are severe hazards for infants. As such, very stringent sampling plans </w:t>
      </w:r>
      <w:r w:rsidR="0044766F">
        <w:t>were</w:t>
      </w:r>
      <w:r>
        <w:t xml:space="preserve"> proposed for these pathogens in powdered infant formula to provide an appropriate level of assurance that, if tested, a contaminated batch of powdered infant formula would be detected. For example a case 15 sampling plan (where n=60 and c=0</w:t>
      </w:r>
      <w:r w:rsidR="00E028C7">
        <w:t>)</w:t>
      </w:r>
      <w:r>
        <w:t xml:space="preserve"> provides a 95% probability that a contaminated lot will be detected if the mean concentration of the pathogen is at least 1.9 cfu per 1000g (1 cfu in 526g). Conversely, if the pathogen is present at a lower concentration tha</w:t>
      </w:r>
      <w:r w:rsidR="00E028C7">
        <w:t>n</w:t>
      </w:r>
      <w:r>
        <w:t xml:space="preserve"> this, then there is a greater that 5% probability that it would not be detected and the lot would be accepted (ICMSF, 2002).</w:t>
      </w:r>
    </w:p>
    <w:p w14:paraId="5E8B1A5F" w14:textId="77777777" w:rsidR="001052F6" w:rsidRDefault="001052F6" w:rsidP="001052F6"/>
    <w:p w14:paraId="197FA4E7" w14:textId="27185430" w:rsidR="001052F6" w:rsidRDefault="001052F6" w:rsidP="001052F6">
      <w:r>
        <w:t xml:space="preserve">For </w:t>
      </w:r>
      <w:r w:rsidRPr="007B1B85">
        <w:rPr>
          <w:i/>
        </w:rPr>
        <w:t>Salmonella</w:t>
      </w:r>
      <w:r>
        <w:t>, which may grow in prepared formula if not handled correctly, a case 15 sampling pla</w:t>
      </w:r>
      <w:r w:rsidR="00FE291F">
        <w:t>n is recommended, where n=60 and</w:t>
      </w:r>
      <w:r>
        <w:t xml:space="preserve"> c=0. For </w:t>
      </w:r>
      <w:r w:rsidRPr="007B1B85">
        <w:rPr>
          <w:i/>
        </w:rPr>
        <w:t>Cronobacter</w:t>
      </w:r>
      <w:r>
        <w:t xml:space="preserve"> a case 14 sampling plan has been recommended</w:t>
      </w:r>
      <w:r w:rsidR="00FE291F">
        <w:t>,</w:t>
      </w:r>
      <w:r>
        <w:t xml:space="preserve"> where n=30 and c=0. Case 14 provides a 95% probability that a mean concentration of </w:t>
      </w:r>
      <w:r w:rsidRPr="008A305E">
        <w:rPr>
          <w:i/>
        </w:rPr>
        <w:t>Cronobacter</w:t>
      </w:r>
      <w:r>
        <w:t xml:space="preserve"> of 1 cfu in 340g will be detected.</w:t>
      </w:r>
    </w:p>
    <w:p w14:paraId="50E5E518" w14:textId="77777777" w:rsidR="001052F6" w:rsidRDefault="001052F6" w:rsidP="001052F6"/>
    <w:p w14:paraId="7AF2929C" w14:textId="7BA5D560" w:rsidR="001052F6" w:rsidRDefault="001052F6" w:rsidP="001052F6">
      <w:r>
        <w:t xml:space="preserve">These sampling plans are </w:t>
      </w:r>
      <w:r w:rsidR="00AE2E35">
        <w:t>based on the premise</w:t>
      </w:r>
      <w:r>
        <w:t xml:space="preserve"> that the history of the lot is unknown.  Alternate sampling criteria would be appropriate where the history of the product is known e.g. it is produced under a validated and verified food safety system such as HACCP where manufacturers apply integrated sampling plans with in-process and environmental samples. </w:t>
      </w:r>
    </w:p>
    <w:p w14:paraId="1A12A210" w14:textId="1662BA3D" w:rsidR="00E520FE" w:rsidRPr="00932F14" w:rsidRDefault="00E520FE" w:rsidP="00E520FE">
      <w:pPr>
        <w:pStyle w:val="Heading2"/>
      </w:pPr>
      <w:bookmarkStart w:id="39" w:name="_Toc300933435"/>
      <w:bookmarkStart w:id="40" w:name="_Toc431997681"/>
      <w:r>
        <w:t>2.</w:t>
      </w:r>
      <w:r w:rsidR="006334AF">
        <w:t>3</w:t>
      </w:r>
      <w:r>
        <w:tab/>
        <w:t>Risk communication</w:t>
      </w:r>
      <w:bookmarkEnd w:id="39"/>
      <w:bookmarkEnd w:id="40"/>
      <w:r>
        <w:t xml:space="preserve"> </w:t>
      </w:r>
    </w:p>
    <w:p w14:paraId="469A0A0B" w14:textId="6B3F49D9" w:rsidR="0027513D" w:rsidRDefault="00E520FE" w:rsidP="00C86664">
      <w:pPr>
        <w:pStyle w:val="Heading3"/>
      </w:pPr>
      <w:bookmarkStart w:id="41" w:name="_Toc300933437"/>
      <w:bookmarkStart w:id="42" w:name="_Toc286391012"/>
      <w:bookmarkStart w:id="43" w:name="_Toc431997682"/>
      <w:r w:rsidRPr="00C86664">
        <w:rPr>
          <w:color w:val="auto"/>
        </w:rPr>
        <w:t>2.</w:t>
      </w:r>
      <w:r w:rsidR="006334AF">
        <w:rPr>
          <w:color w:val="auto"/>
        </w:rPr>
        <w:t>3</w:t>
      </w:r>
      <w:r w:rsidRPr="00C86664">
        <w:rPr>
          <w:color w:val="auto"/>
        </w:rPr>
        <w:t>.1</w:t>
      </w:r>
      <w:r w:rsidRPr="00C86664">
        <w:rPr>
          <w:color w:val="auto"/>
        </w:rPr>
        <w:tab/>
        <w:t>Consultation</w:t>
      </w:r>
      <w:bookmarkEnd w:id="41"/>
      <w:bookmarkEnd w:id="43"/>
    </w:p>
    <w:p w14:paraId="794A5903" w14:textId="77777777" w:rsidR="00F82A65" w:rsidRDefault="00F82A65" w:rsidP="00F82A65">
      <w:r w:rsidRPr="00C86664">
        <w:t>Consultation is a key part of FSANZ’s standards development process. The process by which FSANZ considers standard development matters is open, accountable, consultative and transparent. Public submissions are called to obtain the views of interested parties on issues raised by this Proposal and the effects of regulatory options. Every submission is reviewed by FSANZ staff, who examine the issues identified and prepare a response to those issues. While not all comments may be taken on board during the process, they are valued and all contribute to the rigour of our assessment.</w:t>
      </w:r>
    </w:p>
    <w:p w14:paraId="27BDAABB" w14:textId="77777777" w:rsidR="00F82A65" w:rsidRPr="00C86664" w:rsidRDefault="00F82A65" w:rsidP="00F82A65"/>
    <w:p w14:paraId="26004452" w14:textId="26F8F86A" w:rsidR="00825EF5" w:rsidRDefault="00F82A65" w:rsidP="00825EF5">
      <w:r w:rsidRPr="00C86664">
        <w:t>FSANZ develops communication plans to ensure stakeholders are aware of proposed changes to the Code. All calls for submissions are notified through the FSANZ Notification Circular, media release, FSANZ’s social media tools and Food Standards News</w:t>
      </w:r>
      <w:r w:rsidRPr="00E76560">
        <w:t>.</w:t>
      </w:r>
      <w:r w:rsidR="009D640F" w:rsidRPr="00E76560">
        <w:t xml:space="preserve"> A </w:t>
      </w:r>
      <w:r w:rsidR="008B1EA0" w:rsidRPr="00E76560">
        <w:t>dedicated web page on the review of microbiological limits is available on the FSANZ website.</w:t>
      </w:r>
      <w:r w:rsidR="00E76560" w:rsidRPr="00E76560">
        <w:t xml:space="preserve"> </w:t>
      </w:r>
      <w:r w:rsidR="00825EF5" w:rsidRPr="00E76560">
        <w:t xml:space="preserve">For this proposal, </w:t>
      </w:r>
      <w:r w:rsidR="00825EF5" w:rsidRPr="00E76560">
        <w:rPr>
          <w:szCs w:val="22"/>
        </w:rPr>
        <w:t>FSANZ will</w:t>
      </w:r>
      <w:r w:rsidR="00E76560" w:rsidRPr="00E76560">
        <w:rPr>
          <w:szCs w:val="22"/>
        </w:rPr>
        <w:t xml:space="preserve"> also</w:t>
      </w:r>
      <w:r w:rsidR="00825EF5" w:rsidRPr="00E76560">
        <w:rPr>
          <w:szCs w:val="22"/>
        </w:rPr>
        <w:t xml:space="preserve"> carry out targeted consultation with the </w:t>
      </w:r>
      <w:r w:rsidR="00E76560" w:rsidRPr="00E76560">
        <w:rPr>
          <w:szCs w:val="22"/>
        </w:rPr>
        <w:t>Infant Nutrition Council (INC).</w:t>
      </w:r>
    </w:p>
    <w:p w14:paraId="4D8DFF60" w14:textId="5C5BD0ED" w:rsidR="00825EF5" w:rsidRDefault="00825EF5" w:rsidP="00F82A65"/>
    <w:p w14:paraId="75AE6525" w14:textId="77777777" w:rsidR="00F82A65" w:rsidRDefault="00F82A65" w:rsidP="00F82A65">
      <w:r w:rsidRPr="00C86664">
        <w:t>The draft variations will be considered for approval by the FSANZ Board taking into account comments received following this call for submissions. Anyone who is an interested party or who makes a submission will be notified at each stage of the assessment. Subscribers and interested parties are also notified by email about the availability of reports for public comment.</w:t>
      </w:r>
    </w:p>
    <w:p w14:paraId="51C69368" w14:textId="77777777" w:rsidR="00F82A65" w:rsidRPr="00C86664" w:rsidRDefault="00F82A65" w:rsidP="00F82A65"/>
    <w:p w14:paraId="4D666CCF" w14:textId="0AE82E84" w:rsidR="00FB67A3" w:rsidRPr="00C86664" w:rsidRDefault="00F82A65" w:rsidP="00FB67A3">
      <w:pPr>
        <w:rPr>
          <w:szCs w:val="22"/>
        </w:rPr>
      </w:pPr>
      <w:r w:rsidRPr="00C86664">
        <w:t>If the draft variations to the Code are approved by the FSANZ Board, that decision will be notified to the Australia and New Zealand Ministerial Forum on Food Regulation. If the decision is not subject to a request for a review, stakeholders will be notified of the gazettal of the variations to the Code in the national press and on the FSANZ website.</w:t>
      </w:r>
    </w:p>
    <w:p w14:paraId="72425731" w14:textId="465CBF32" w:rsidR="00E520FE" w:rsidRPr="00022DBC" w:rsidRDefault="00022DBC" w:rsidP="00022DBC">
      <w:pPr>
        <w:pStyle w:val="Heading3"/>
      </w:pPr>
      <w:bookmarkStart w:id="44" w:name="_Toc300761912"/>
      <w:bookmarkStart w:id="45" w:name="_Toc300933439"/>
      <w:bookmarkStart w:id="46" w:name="_Toc431997683"/>
      <w:bookmarkEnd w:id="42"/>
      <w:r w:rsidRPr="00022DBC">
        <w:t>2.</w:t>
      </w:r>
      <w:r w:rsidR="006334AF">
        <w:t>3</w:t>
      </w:r>
      <w:r w:rsidRPr="00022DBC">
        <w:t>.2</w:t>
      </w:r>
      <w:r w:rsidR="00E520FE" w:rsidRPr="00022DBC">
        <w:tab/>
        <w:t>World Trade Organization (WTO)</w:t>
      </w:r>
      <w:bookmarkEnd w:id="44"/>
      <w:bookmarkEnd w:id="45"/>
      <w:bookmarkEnd w:id="46"/>
    </w:p>
    <w:p w14:paraId="7617F326" w14:textId="12CF0A19" w:rsidR="0037182C"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r w:rsidR="0037182C">
        <w:rPr>
          <w:rFonts w:cs="Arial"/>
          <w:color w:val="000000"/>
        </w:rPr>
        <w:br w:type="page"/>
      </w:r>
    </w:p>
    <w:p w14:paraId="4E645651" w14:textId="6667351F" w:rsidR="00E520FE" w:rsidRDefault="00DA2585" w:rsidP="00B91CB6">
      <w:pPr>
        <w:rPr>
          <w:rFonts w:cs="Arial"/>
        </w:rPr>
      </w:pPr>
      <w:r w:rsidRPr="00276546">
        <w:lastRenderedPageBreak/>
        <w:t xml:space="preserve">The draft variations </w:t>
      </w:r>
      <w:r>
        <w:t xml:space="preserve">to Schedule 27 </w:t>
      </w:r>
      <w:r>
        <w:rPr>
          <w:lang w:bidi="ar-SA"/>
        </w:rPr>
        <w:t xml:space="preserve">are consistent with the principles underpinning the </w:t>
      </w:r>
      <w:r w:rsidRPr="006A34CD">
        <w:t xml:space="preserve">Codex </w:t>
      </w:r>
      <w:r w:rsidRPr="00F65DBA">
        <w:rPr>
          <w:rFonts w:eastAsiaTheme="minorHAnsi"/>
          <w:i/>
          <w:lang w:val="en-US"/>
        </w:rPr>
        <w:t>Code of Hygienic Practice for Powdered Formulae for Infants and Young Children</w:t>
      </w:r>
      <w:r w:rsidRPr="00F65DBA">
        <w:rPr>
          <w:rFonts w:eastAsiaTheme="minorHAnsi"/>
          <w:lang w:val="en-US"/>
        </w:rPr>
        <w:t xml:space="preserve"> (CAC/RCP 66 – 2008)</w:t>
      </w:r>
      <w:r>
        <w:t xml:space="preserve"> and will potentially be a trade facilitating measure. </w:t>
      </w:r>
      <w:r w:rsidRPr="00033730">
        <w:t>N</w:t>
      </w:r>
      <w:r w:rsidRPr="00033730">
        <w:rPr>
          <w:rFonts w:cs="Arial"/>
          <w:iCs/>
        </w:rPr>
        <w:t>otification under the WTO Sanitary and Phytosanitary Measures Agreement has been made to</w:t>
      </w:r>
      <w:r w:rsidRPr="00033730">
        <w:rPr>
          <w:rFonts w:cs="Arial"/>
        </w:rPr>
        <w:t xml:space="preserve"> facilitate transparency and enable other WTO member countries to comment on the draft variations.</w:t>
      </w:r>
    </w:p>
    <w:p w14:paraId="70FEC864" w14:textId="13EEF395" w:rsidR="00E520FE" w:rsidRDefault="00022DBC" w:rsidP="00022DBC">
      <w:pPr>
        <w:pStyle w:val="Heading2"/>
      </w:pPr>
      <w:bookmarkStart w:id="47" w:name="_Toc431997684"/>
      <w:r>
        <w:t>2.</w:t>
      </w:r>
      <w:r w:rsidR="006334AF">
        <w:t>4</w:t>
      </w:r>
      <w:r>
        <w:tab/>
        <w:t>FSANZ Act assessment requirements</w:t>
      </w:r>
      <w:bookmarkEnd w:id="47"/>
    </w:p>
    <w:p w14:paraId="795AA8B9" w14:textId="580BA950" w:rsidR="00726C2F" w:rsidRPr="00DA2585" w:rsidRDefault="00726C2F" w:rsidP="00726C2F">
      <w:r w:rsidRPr="00DA2585">
        <w:t xml:space="preserve">When assessing this Proposal and the subsequent development of a food regulatory measure, FSANZ has had regard to the </w:t>
      </w:r>
      <w:r w:rsidRPr="00DA2585" w:rsidDel="00932F14">
        <w:t xml:space="preserve">following </w:t>
      </w:r>
      <w:r w:rsidRPr="00DA2585">
        <w:t>matters in section 59 of the FSANZ Act:</w:t>
      </w:r>
    </w:p>
    <w:p w14:paraId="2607BFEA" w14:textId="261E45F5" w:rsidR="00726C2F" w:rsidRPr="00DA2585" w:rsidRDefault="00726C2F" w:rsidP="00726C2F">
      <w:pPr>
        <w:pStyle w:val="Heading3"/>
        <w:rPr>
          <w:color w:val="auto"/>
        </w:rPr>
      </w:pPr>
      <w:bookmarkStart w:id="48" w:name="_Toc431997685"/>
      <w:r w:rsidRPr="00DA2585">
        <w:rPr>
          <w:color w:val="auto"/>
        </w:rPr>
        <w:t>2.</w:t>
      </w:r>
      <w:r w:rsidR="006334AF">
        <w:rPr>
          <w:color w:val="auto"/>
        </w:rPr>
        <w:t>4</w:t>
      </w:r>
      <w:r w:rsidRPr="00DA2585">
        <w:rPr>
          <w:color w:val="auto"/>
        </w:rPr>
        <w:t>.1</w:t>
      </w:r>
      <w:r w:rsidRPr="00DA2585">
        <w:rPr>
          <w:color w:val="auto"/>
        </w:rPr>
        <w:tab/>
        <w:t>Section 59</w:t>
      </w:r>
      <w:bookmarkEnd w:id="48"/>
    </w:p>
    <w:p w14:paraId="125A2D7B" w14:textId="21C88796" w:rsidR="00726C2F" w:rsidRDefault="00726C2F" w:rsidP="00726C2F">
      <w:pPr>
        <w:pStyle w:val="Heading4"/>
      </w:pPr>
      <w:r>
        <w:t>2.</w:t>
      </w:r>
      <w:r w:rsidR="006334AF">
        <w:t>4</w:t>
      </w:r>
      <w:r>
        <w:t>.1.1</w:t>
      </w:r>
      <w:r>
        <w:tab/>
        <w:t>Cost benefit analysis</w:t>
      </w:r>
    </w:p>
    <w:p w14:paraId="073D43C1" w14:textId="37079373" w:rsidR="00332537" w:rsidRPr="0045626D" w:rsidRDefault="00332537" w:rsidP="001D58D4">
      <w:pPr>
        <w:spacing w:before="240"/>
        <w:rPr>
          <w:lang w:val="en-AU"/>
        </w:rPr>
      </w:pPr>
      <w:r w:rsidRPr="0045626D">
        <w:rPr>
          <w:lang w:val="en-AU"/>
        </w:rPr>
        <w:t xml:space="preserve">The proposed changes </w:t>
      </w:r>
      <w:r w:rsidR="0045626D" w:rsidRPr="0045626D">
        <w:t xml:space="preserve">that would arise from a food regulatory measure developed or varied as a result of the proposal </w:t>
      </w:r>
      <w:r w:rsidRPr="0045626D">
        <w:rPr>
          <w:lang w:val="en-AU"/>
        </w:rPr>
        <w:t xml:space="preserve">are unlikely to have material impacts on businesses, governments or community and are largely minor and machinery in nature. </w:t>
      </w:r>
    </w:p>
    <w:p w14:paraId="0CBDB24D" w14:textId="059E63C0" w:rsidR="002D5769" w:rsidRPr="002D5769" w:rsidRDefault="00332537" w:rsidP="001D58D4">
      <w:pPr>
        <w:spacing w:before="240"/>
      </w:pPr>
      <w:r>
        <w:t xml:space="preserve">Primarily, these changes </w:t>
      </w:r>
      <w:r w:rsidR="00EF7ECE">
        <w:t xml:space="preserve">involve </w:t>
      </w:r>
      <w:r w:rsidR="00242F16">
        <w:t>moving</w:t>
      </w:r>
      <w:r w:rsidR="002D5769" w:rsidRPr="002D5769">
        <w:t xml:space="preserve"> the process hygiene criteria from S</w:t>
      </w:r>
      <w:r w:rsidR="00B91CB6">
        <w:t>chedule 27</w:t>
      </w:r>
      <w:r w:rsidR="002D5769" w:rsidRPr="002D5769">
        <w:t xml:space="preserve"> to the associated </w:t>
      </w:r>
      <w:r w:rsidR="00EF7ECE">
        <w:t>guidance document</w:t>
      </w:r>
      <w:r w:rsidR="002D5769" w:rsidRPr="002D5769">
        <w:t xml:space="preserve"> which will prevent food recalls being undertaken unnecessarily</w:t>
      </w:r>
      <w:r w:rsidR="00EF7ECE">
        <w:t xml:space="preserve"> and also</w:t>
      </w:r>
      <w:r w:rsidR="002D5769" w:rsidRPr="002D5769">
        <w:t xml:space="preserve"> remove the ne</w:t>
      </w:r>
      <w:r w:rsidR="00242F16">
        <w:t xml:space="preserve">ed for </w:t>
      </w:r>
      <w:r w:rsidR="002D5769" w:rsidRPr="002D5769">
        <w:t>redundant testing</w:t>
      </w:r>
      <w:r w:rsidR="00905156">
        <w:t xml:space="preserve">, reducing the </w:t>
      </w:r>
      <w:r w:rsidR="00905156" w:rsidDel="00242F16">
        <w:t xml:space="preserve">number </w:t>
      </w:r>
      <w:r w:rsidR="00905156">
        <w:t>of expensive micro</w:t>
      </w:r>
      <w:r w:rsidR="00AE2E35">
        <w:t>biological</w:t>
      </w:r>
      <w:r w:rsidR="00905156">
        <w:t xml:space="preserve"> test</w:t>
      </w:r>
      <w:r w:rsidR="00843691">
        <w:t>s</w:t>
      </w:r>
      <w:r w:rsidR="00905156">
        <w:t xml:space="preserve"> required by the businesses.</w:t>
      </w:r>
      <w:r w:rsidR="002D5769" w:rsidRPr="002D5769">
        <w:t xml:space="preserve"> </w:t>
      </w:r>
      <w:r w:rsidR="00905156">
        <w:t>This will potentially lead to less destruction of food</w:t>
      </w:r>
      <w:r w:rsidR="00B91CB6">
        <w:t>,</w:t>
      </w:r>
      <w:r w:rsidR="00905156">
        <w:t xml:space="preserve"> and recalls </w:t>
      </w:r>
      <w:r w:rsidR="00B91CB6">
        <w:t>which</w:t>
      </w:r>
      <w:r w:rsidR="00905156">
        <w:t xml:space="preserve"> are not related to community safety. </w:t>
      </w:r>
      <w:r w:rsidR="002D5769" w:rsidRPr="002D5769">
        <w:t xml:space="preserve">The additional testing for </w:t>
      </w:r>
      <w:r w:rsidR="002D5769" w:rsidRPr="002D5769">
        <w:rPr>
          <w:i/>
        </w:rPr>
        <w:t>Cronobacte</w:t>
      </w:r>
      <w:r w:rsidR="002D5769" w:rsidRPr="002D5769">
        <w:t>r and Enterobacteriacea is already undertaken by the industry as it is required for international trade, and to meet customer expectations of food safety.</w:t>
      </w:r>
    </w:p>
    <w:p w14:paraId="41FE0DC7" w14:textId="342538B0" w:rsidR="002D5769" w:rsidRDefault="002D5769" w:rsidP="001D58D4">
      <w:pPr>
        <w:spacing w:before="240"/>
      </w:pPr>
      <w:r>
        <w:t xml:space="preserve">Consultation to date has found industry </w:t>
      </w:r>
      <w:r w:rsidR="00242F16">
        <w:t>supports</w:t>
      </w:r>
      <w:r>
        <w:t xml:space="preserve"> the proposed amendments. It also </w:t>
      </w:r>
      <w:r w:rsidRPr="00AA46AC">
        <w:rPr>
          <w:bCs/>
        </w:rPr>
        <w:t xml:space="preserve">identified that </w:t>
      </w:r>
      <w:r>
        <w:t xml:space="preserve">infant formula manufacturers currently </w:t>
      </w:r>
      <w:r w:rsidRPr="00AA46AC">
        <w:t xml:space="preserve">undertake a range of </w:t>
      </w:r>
      <w:r w:rsidR="00E028C7">
        <w:t>m</w:t>
      </w:r>
      <w:r w:rsidRPr="00AA46AC">
        <w:t>icrobiological testing, both in-process and end-product testing, in order to meet internal food safety controls, regulatory (domestic and international) and customer requ</w:t>
      </w:r>
      <w:r>
        <w:t>irements. All feedback received from the industry has indicated that they are already undertaking testing as per the criteria outlined in the proposed changes in order to meet international standards.</w:t>
      </w:r>
    </w:p>
    <w:p w14:paraId="2BF67842" w14:textId="12FC8DBC" w:rsidR="00684833" w:rsidRPr="00B7058D" w:rsidRDefault="00EF7ECE" w:rsidP="001D58D4">
      <w:pPr>
        <w:spacing w:before="240"/>
        <w:rPr>
          <w:lang w:val="en-AU"/>
        </w:rPr>
      </w:pPr>
      <w:r>
        <w:rPr>
          <w:lang w:val="en-AU"/>
        </w:rPr>
        <w:t>T</w:t>
      </w:r>
      <w:r w:rsidR="00B7058D">
        <w:rPr>
          <w:lang w:val="en-AU"/>
        </w:rPr>
        <w:t xml:space="preserve">he OBPR assessment is that a </w:t>
      </w:r>
      <w:r w:rsidR="00D65652">
        <w:rPr>
          <w:lang w:val="en-AU"/>
        </w:rPr>
        <w:t xml:space="preserve">Regulation </w:t>
      </w:r>
      <w:r w:rsidR="00B7058D">
        <w:rPr>
          <w:lang w:val="en-AU"/>
        </w:rPr>
        <w:t xml:space="preserve">Impact Statement is not required </w:t>
      </w:r>
      <w:r w:rsidR="002D5769">
        <w:rPr>
          <w:lang w:val="en-AU"/>
        </w:rPr>
        <w:t>(</w:t>
      </w:r>
      <w:r w:rsidR="00684833" w:rsidRPr="00684833">
        <w:rPr>
          <w:bCs/>
          <w:lang w:val="en-AU"/>
        </w:rPr>
        <w:t>OBPR</w:t>
      </w:r>
      <w:r w:rsidR="001D58D4">
        <w:rPr>
          <w:bCs/>
          <w:lang w:val="en-AU"/>
        </w:rPr>
        <w:t xml:space="preserve"> reference </w:t>
      </w:r>
      <w:r w:rsidR="00684833" w:rsidRPr="00684833">
        <w:rPr>
          <w:bCs/>
          <w:lang w:val="en-AU"/>
        </w:rPr>
        <w:t>19531</w:t>
      </w:r>
      <w:r w:rsidR="002D5769">
        <w:rPr>
          <w:bCs/>
          <w:lang w:val="en-AU"/>
        </w:rPr>
        <w:t>).</w:t>
      </w:r>
    </w:p>
    <w:p w14:paraId="4194BC74" w14:textId="58771D6C" w:rsidR="00726C2F" w:rsidRDefault="00726C2F" w:rsidP="00726C2F">
      <w:pPr>
        <w:pStyle w:val="Heading4"/>
      </w:pPr>
      <w:r>
        <w:t>2.</w:t>
      </w:r>
      <w:r w:rsidR="006334AF">
        <w:t>4</w:t>
      </w:r>
      <w:r>
        <w:t>.1.2</w:t>
      </w:r>
      <w:r>
        <w:tab/>
        <w:t>Other measures</w:t>
      </w:r>
    </w:p>
    <w:p w14:paraId="020E7B52" w14:textId="630FE77C"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w:t>
      </w:r>
      <w:r w:rsidRPr="00B7058D">
        <w:t>result of the Proposal.</w:t>
      </w:r>
    </w:p>
    <w:p w14:paraId="009DAFB7" w14:textId="66D008FE" w:rsidR="00726C2F" w:rsidRDefault="008B0075" w:rsidP="008B0075">
      <w:pPr>
        <w:pStyle w:val="Heading4"/>
      </w:pPr>
      <w:r>
        <w:t>2.</w:t>
      </w:r>
      <w:r w:rsidR="006334AF">
        <w:t>4</w:t>
      </w:r>
      <w:r>
        <w:t>.1.3</w:t>
      </w:r>
      <w:r>
        <w:tab/>
        <w:t>A</w:t>
      </w:r>
      <w:r w:rsidR="00726C2F" w:rsidRPr="00914030">
        <w:t>ny relevant New Zealand standards</w:t>
      </w:r>
    </w:p>
    <w:p w14:paraId="5ACD1693" w14:textId="5F0454AE" w:rsidR="004C20E4" w:rsidRDefault="004C20E4" w:rsidP="004C20E4">
      <w:pPr>
        <w:rPr>
          <w:lang w:bidi="ar-SA"/>
        </w:rPr>
      </w:pPr>
      <w:r>
        <w:rPr>
          <w:lang w:bidi="ar-SA"/>
        </w:rPr>
        <w:t xml:space="preserve">Standard 1.6.1 </w:t>
      </w:r>
      <w:r w:rsidR="00585BEF">
        <w:rPr>
          <w:lang w:bidi="ar-SA"/>
        </w:rPr>
        <w:t xml:space="preserve">and the associated Schedule 27, </w:t>
      </w:r>
      <w:r>
        <w:rPr>
          <w:lang w:bidi="ar-SA"/>
        </w:rPr>
        <w:t>establishes microbiological limits for food for sale in Australia and New Zealand.</w:t>
      </w:r>
    </w:p>
    <w:p w14:paraId="6532203B" w14:textId="3EC46FA4" w:rsidR="00726C2F" w:rsidRPr="00914030" w:rsidRDefault="00BE3818" w:rsidP="00BE3818">
      <w:pPr>
        <w:pStyle w:val="Heading4"/>
      </w:pPr>
      <w:r>
        <w:t>2.</w:t>
      </w:r>
      <w:r w:rsidR="006334AF">
        <w:t>4</w:t>
      </w:r>
      <w:r>
        <w:t>.1.4</w:t>
      </w:r>
      <w:r>
        <w:tab/>
      </w:r>
      <w:r w:rsidR="0027513D">
        <w:t>A</w:t>
      </w:r>
      <w:r>
        <w:t>ny other relevant matters</w:t>
      </w:r>
    </w:p>
    <w:p w14:paraId="4F0B6115" w14:textId="77777777" w:rsidR="00BE3818" w:rsidRDefault="00BE3818" w:rsidP="00BE3818">
      <w:pPr>
        <w:rPr>
          <w:lang w:bidi="ar-SA"/>
        </w:rPr>
      </w:pPr>
      <w:r>
        <w:rPr>
          <w:lang w:bidi="ar-SA"/>
        </w:rPr>
        <w:t>There are no other relevant matters.</w:t>
      </w:r>
    </w:p>
    <w:p w14:paraId="029840D1" w14:textId="4B0D0789" w:rsidR="00022DBC" w:rsidRPr="00914030" w:rsidRDefault="00BE3818" w:rsidP="00022DBC">
      <w:pPr>
        <w:pStyle w:val="Heading3"/>
      </w:pPr>
      <w:bookmarkStart w:id="49" w:name="_Toc300761897"/>
      <w:bookmarkStart w:id="50" w:name="_Toc300933440"/>
      <w:bookmarkStart w:id="51" w:name="_Toc431997686"/>
      <w:r>
        <w:t>2.</w:t>
      </w:r>
      <w:r w:rsidR="006334AF">
        <w:t>4</w:t>
      </w:r>
      <w:r>
        <w:t>.2</w:t>
      </w:r>
      <w:r w:rsidR="00022DBC" w:rsidRPr="00914030">
        <w:tab/>
      </w:r>
      <w:r>
        <w:t>Subsection 18(1)</w:t>
      </w:r>
      <w:bookmarkEnd w:id="51"/>
      <w:r>
        <w:t xml:space="preserve"> </w:t>
      </w:r>
      <w:bookmarkEnd w:id="49"/>
      <w:bookmarkEnd w:id="50"/>
    </w:p>
    <w:p w14:paraId="25FB51C4" w14:textId="3ADDA37F" w:rsidR="0037182C" w:rsidRDefault="00022DBC" w:rsidP="00022DBC">
      <w:r w:rsidRPr="00914030">
        <w:rPr>
          <w:rFonts w:cs="Arial"/>
        </w:rPr>
        <w:t xml:space="preserve">FSANZ has also </w:t>
      </w:r>
      <w:r w:rsidRPr="00914030">
        <w:t xml:space="preserve">considered the three objectives in subsection 18(1) of the </w:t>
      </w:r>
      <w:r>
        <w:t>FSANZ Act during the assessment.</w:t>
      </w:r>
      <w:r w:rsidR="0037182C">
        <w:br w:type="page"/>
      </w:r>
    </w:p>
    <w:p w14:paraId="357C9CC1" w14:textId="788A4623" w:rsidR="00022DBC" w:rsidRPr="00914030" w:rsidRDefault="00BE3818" w:rsidP="00022DBC">
      <w:pPr>
        <w:pStyle w:val="Heading4"/>
        <w:rPr>
          <w:lang w:eastAsia="en-AU"/>
        </w:rPr>
      </w:pPr>
      <w:bookmarkStart w:id="52" w:name="_Toc297029117"/>
      <w:bookmarkStart w:id="53" w:name="_Toc300761898"/>
      <w:bookmarkStart w:id="54" w:name="_Toc300933441"/>
      <w:r>
        <w:rPr>
          <w:lang w:eastAsia="en-AU"/>
        </w:rPr>
        <w:lastRenderedPageBreak/>
        <w:t>2.</w:t>
      </w:r>
      <w:r w:rsidR="006334AF">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2"/>
      <w:bookmarkEnd w:id="53"/>
      <w:bookmarkEnd w:id="54"/>
    </w:p>
    <w:p w14:paraId="7F6AE39F" w14:textId="7F0C5017" w:rsidR="004C20E4" w:rsidRDefault="004C20E4" w:rsidP="004C20E4">
      <w:bookmarkStart w:id="55" w:name="_Toc300761899"/>
      <w:bookmarkStart w:id="56" w:name="_Toc300933442"/>
      <w:r>
        <w:t>FSANZ considers that prepar</w:t>
      </w:r>
      <w:r w:rsidR="00242F16">
        <w:t>ing</w:t>
      </w:r>
      <w:r>
        <w:t xml:space="preserve"> the draft variation is consistent with this objective. </w:t>
      </w:r>
      <w:r w:rsidR="00AD6978">
        <w:t>T</w:t>
      </w:r>
      <w:r w:rsidR="00AD6978" w:rsidRPr="0042655E">
        <w:t>he emergence of</w:t>
      </w:r>
      <w:r w:rsidR="00AD6978">
        <w:t xml:space="preserve"> </w:t>
      </w:r>
      <w:r w:rsidR="00AD6978" w:rsidRPr="00D22226">
        <w:rPr>
          <w:i/>
        </w:rPr>
        <w:t xml:space="preserve">Cronobacter </w:t>
      </w:r>
      <w:r w:rsidR="00AD6978">
        <w:t xml:space="preserve">as an opportunistic pathogen with potential severe consequences, including permanent disability or fatality, led to its inclusion in the criteria for pathogenic microorganisms for powdered infant formula in </w:t>
      </w:r>
      <w:r w:rsidR="00F81F3F">
        <w:t xml:space="preserve">the </w:t>
      </w:r>
      <w:r w:rsidR="00F81F3F" w:rsidRPr="006A34CD">
        <w:t xml:space="preserve">Codex </w:t>
      </w:r>
      <w:r w:rsidR="00F81F3F" w:rsidRPr="00F65DBA">
        <w:rPr>
          <w:rFonts w:eastAsiaTheme="minorHAnsi"/>
          <w:i/>
          <w:lang w:val="en-US"/>
        </w:rPr>
        <w:t>Code of Hygienic Practice for Powdered Formulae for Infants and Young Children</w:t>
      </w:r>
      <w:r w:rsidR="00F81F3F">
        <w:t xml:space="preserve"> (CoHP).</w:t>
      </w:r>
      <w:r w:rsidR="00AD6978">
        <w:t xml:space="preserve"> As </w:t>
      </w:r>
      <w:r w:rsidR="00D65652">
        <w:t xml:space="preserve">Schedule 27 (currently Standard 1.6.1) </w:t>
      </w:r>
      <w:r w:rsidR="00AD6978">
        <w:t xml:space="preserve">predates </w:t>
      </w:r>
      <w:r w:rsidR="00AE2E35">
        <w:t xml:space="preserve">the </w:t>
      </w:r>
      <w:r w:rsidR="00F81F3F">
        <w:t>development</w:t>
      </w:r>
      <w:r w:rsidR="00AD6978">
        <w:t xml:space="preserve"> of</w:t>
      </w:r>
      <w:r w:rsidR="00AE2E35">
        <w:t xml:space="preserve"> </w:t>
      </w:r>
      <w:r w:rsidR="00F81F3F">
        <w:t xml:space="preserve">the CoHP </w:t>
      </w:r>
      <w:r w:rsidR="00AD6978" w:rsidRPr="00262F51">
        <w:t xml:space="preserve">it does </w:t>
      </w:r>
      <w:r w:rsidR="00AD6978">
        <w:t xml:space="preserve">not currently provide a microbiological limit for </w:t>
      </w:r>
      <w:r w:rsidR="00AD6978" w:rsidRPr="00D22226">
        <w:rPr>
          <w:i/>
        </w:rPr>
        <w:t>Cronobacter</w:t>
      </w:r>
      <w:r w:rsidR="00AD6978">
        <w:t>.</w:t>
      </w:r>
      <w:r w:rsidR="00AD6978" w:rsidRPr="00AE2812">
        <w:t xml:space="preserve"> T</w:t>
      </w:r>
      <w:r w:rsidR="00AD6978">
        <w:t>his is out of step with international approaches which could potentially be putting infants at greater risk of contracting foodborne illness.</w:t>
      </w:r>
      <w:r w:rsidR="00162365">
        <w:t xml:space="preserve"> The draft variation addresses this</w:t>
      </w:r>
      <w:r w:rsidR="00AE2E35">
        <w:t>.</w:t>
      </w:r>
    </w:p>
    <w:p w14:paraId="42AB444C" w14:textId="77777777" w:rsidR="004C20E4" w:rsidRDefault="004C20E4" w:rsidP="004C20E4"/>
    <w:p w14:paraId="3F67E2EA" w14:textId="23EC9DC9" w:rsidR="004C20E4" w:rsidRDefault="004C20E4" w:rsidP="004C20E4">
      <w:r w:rsidRPr="002B3EEA">
        <w:t>Establishing app</w:t>
      </w:r>
      <w:r>
        <w:t>ropriate microbiological limits</w:t>
      </w:r>
      <w:r w:rsidRPr="002B3EEA">
        <w:t xml:space="preserve"> for foods is an important </w:t>
      </w:r>
      <w:r>
        <w:t>element</w:t>
      </w:r>
      <w:r w:rsidRPr="002B3EEA">
        <w:t xml:space="preserve"> in a risk management framework for </w:t>
      </w:r>
      <w:r w:rsidR="00AD6978">
        <w:t>a safe</w:t>
      </w:r>
      <w:r w:rsidRPr="002B3EEA">
        <w:t xml:space="preserve"> food supply</w:t>
      </w:r>
      <w:r w:rsidRPr="002B3EEA">
        <w:rPr>
          <w:i/>
        </w:rPr>
        <w:t>.</w:t>
      </w:r>
      <w:r w:rsidRPr="002B3EEA">
        <w:t xml:space="preserve"> </w:t>
      </w:r>
    </w:p>
    <w:p w14:paraId="0DD5385E" w14:textId="364BD579" w:rsidR="00022DBC" w:rsidRPr="00914030" w:rsidRDefault="00BE3818" w:rsidP="00022DBC">
      <w:pPr>
        <w:pStyle w:val="Heading4"/>
        <w:rPr>
          <w:lang w:eastAsia="en-AU"/>
        </w:rPr>
      </w:pPr>
      <w:r>
        <w:rPr>
          <w:lang w:eastAsia="en-AU"/>
        </w:rPr>
        <w:t>2.</w:t>
      </w:r>
      <w:r w:rsidR="006334AF">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55"/>
      <w:bookmarkEnd w:id="56"/>
    </w:p>
    <w:p w14:paraId="202C6E83" w14:textId="77777777" w:rsidR="004C20E4" w:rsidRDefault="004C20E4" w:rsidP="004C20E4">
      <w:bookmarkStart w:id="57" w:name="_Toc300761900"/>
      <w:bookmarkStart w:id="58" w:name="_Toc300933443"/>
      <w:r>
        <w:t xml:space="preserve">The provision of adequate information relating to food is not directly relevant to the draft variation to Standard 1.6.1. </w:t>
      </w:r>
    </w:p>
    <w:p w14:paraId="7F62272B" w14:textId="62F53FD2" w:rsidR="00022DBC" w:rsidRPr="00914030" w:rsidRDefault="00BE3818" w:rsidP="00022DBC">
      <w:pPr>
        <w:pStyle w:val="Heading4"/>
        <w:rPr>
          <w:lang w:eastAsia="en-AU"/>
        </w:rPr>
      </w:pPr>
      <w:r>
        <w:rPr>
          <w:lang w:eastAsia="en-AU"/>
        </w:rPr>
        <w:t>2.</w:t>
      </w:r>
      <w:r w:rsidR="006334AF">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57"/>
      <w:bookmarkEnd w:id="58"/>
    </w:p>
    <w:p w14:paraId="2FFAF16D" w14:textId="77777777" w:rsidR="004C20E4" w:rsidRPr="006A34CD" w:rsidRDefault="004C20E4" w:rsidP="004C20E4">
      <w:bookmarkStart w:id="59" w:name="_Toc300761901"/>
      <w:bookmarkStart w:id="60" w:name="_Toc300933444"/>
      <w:r w:rsidRPr="006A34CD">
        <w:t>No issues were identified.</w:t>
      </w:r>
    </w:p>
    <w:p w14:paraId="68345884" w14:textId="620A9099" w:rsidR="00022DBC" w:rsidRPr="00914030" w:rsidRDefault="00B51E03" w:rsidP="00B51E03">
      <w:pPr>
        <w:pStyle w:val="Heading3"/>
      </w:pPr>
      <w:bookmarkStart w:id="61" w:name="_Toc431997687"/>
      <w:r>
        <w:t>2.</w:t>
      </w:r>
      <w:r w:rsidR="006334AF">
        <w:t>4</w:t>
      </w:r>
      <w:r>
        <w:t>.3</w:t>
      </w:r>
      <w:r w:rsidR="00022DBC" w:rsidRPr="00914030">
        <w:tab/>
        <w:t xml:space="preserve">Subsection 18(2) </w:t>
      </w:r>
      <w:bookmarkEnd w:id="59"/>
      <w:bookmarkEnd w:id="60"/>
      <w:r w:rsidR="00022DBC" w:rsidRPr="00914030">
        <w:t>considerations</w:t>
      </w:r>
      <w:bookmarkEnd w:id="61"/>
    </w:p>
    <w:p w14:paraId="3B34BE35" w14:textId="77777777" w:rsidR="00022DBC" w:rsidRPr="00914030" w:rsidRDefault="00022DBC" w:rsidP="00022DBC">
      <w:pPr>
        <w:rPr>
          <w:rFonts w:cs="Arial"/>
        </w:rPr>
      </w:pPr>
      <w:r w:rsidRPr="00914030">
        <w:rPr>
          <w:rFonts w:cs="Arial"/>
        </w:rPr>
        <w:t>FSANZ has also had regard to:</w:t>
      </w:r>
    </w:p>
    <w:p w14:paraId="7171D390" w14:textId="77777777" w:rsidR="00022DBC" w:rsidRPr="00914030" w:rsidRDefault="00022DBC" w:rsidP="00022DBC">
      <w:pPr>
        <w:rPr>
          <w:rFonts w:cs="Arial"/>
        </w:rPr>
      </w:pPr>
    </w:p>
    <w:p w14:paraId="36CE3320"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1F8C1730" w14:textId="77777777" w:rsidR="008828D9" w:rsidRDefault="008828D9" w:rsidP="008828D9">
      <w:pPr>
        <w:rPr>
          <w:lang w:bidi="ar-SA"/>
        </w:rPr>
      </w:pPr>
    </w:p>
    <w:p w14:paraId="37441549" w14:textId="140E7F84" w:rsidR="004C20E4" w:rsidRDefault="004C20E4" w:rsidP="004C20E4">
      <w:pPr>
        <w:rPr>
          <w:lang w:bidi="ar-SA"/>
        </w:rPr>
      </w:pPr>
      <w:r>
        <w:rPr>
          <w:lang w:bidi="ar-SA"/>
        </w:rPr>
        <w:t xml:space="preserve">Several risk assessments have been undertaken internationally </w:t>
      </w:r>
      <w:r w:rsidR="009C154C">
        <w:t>by the FAO/WHO which led to the development of the current Codex standards.</w:t>
      </w:r>
      <w:r>
        <w:rPr>
          <w:lang w:bidi="ar-SA"/>
        </w:rPr>
        <w:t xml:space="preserve"> FSANZ has had regard to this risk assessment work in assessing P1039 and is satisfied that it reflects the best available scientific evidence.</w:t>
      </w:r>
    </w:p>
    <w:p w14:paraId="4162D85C" w14:textId="77777777" w:rsidR="008828D9" w:rsidRPr="008828D9" w:rsidRDefault="008828D9" w:rsidP="008828D9">
      <w:pPr>
        <w:rPr>
          <w:lang w:bidi="ar-SA"/>
        </w:rPr>
      </w:pPr>
    </w:p>
    <w:p w14:paraId="08131858" w14:textId="77777777" w:rsidR="00022DBC" w:rsidRPr="008828D9" w:rsidRDefault="00022DBC" w:rsidP="00022DBC">
      <w:pPr>
        <w:pStyle w:val="FSBullet1"/>
        <w:rPr>
          <w:b/>
        </w:rPr>
      </w:pPr>
      <w:r w:rsidRPr="008828D9">
        <w:rPr>
          <w:b/>
        </w:rPr>
        <w:t>the promotion of consistency between domestic and international food standards</w:t>
      </w:r>
    </w:p>
    <w:p w14:paraId="5F99900E" w14:textId="77777777" w:rsidR="008828D9" w:rsidRDefault="008828D9" w:rsidP="008828D9">
      <w:pPr>
        <w:rPr>
          <w:lang w:bidi="ar-SA"/>
        </w:rPr>
      </w:pPr>
    </w:p>
    <w:p w14:paraId="0771E401" w14:textId="42B266BC" w:rsidR="008828D9" w:rsidRDefault="004C20E4" w:rsidP="008828D9">
      <w:pPr>
        <w:rPr>
          <w:lang w:bidi="ar-SA"/>
        </w:rPr>
      </w:pPr>
      <w:r>
        <w:rPr>
          <w:lang w:bidi="ar-SA"/>
        </w:rPr>
        <w:t xml:space="preserve">The preparation of a draft variation to </w:t>
      </w:r>
      <w:r w:rsidR="00056B04">
        <w:rPr>
          <w:lang w:bidi="ar-SA"/>
        </w:rPr>
        <w:t>Schedule 27</w:t>
      </w:r>
      <w:r>
        <w:rPr>
          <w:lang w:bidi="ar-SA"/>
        </w:rPr>
        <w:t xml:space="preserve"> that establishes appropriate food safety microbiological criteria for two pathogens of concern is in line with the approach agreed internationally (through Codex) for the food safety management of infant formula.</w:t>
      </w:r>
    </w:p>
    <w:p w14:paraId="01F4E944" w14:textId="77777777" w:rsidR="004C20E4" w:rsidRPr="008828D9" w:rsidRDefault="004C20E4" w:rsidP="008828D9">
      <w:pPr>
        <w:rPr>
          <w:lang w:bidi="ar-SA"/>
        </w:rPr>
      </w:pPr>
    </w:p>
    <w:p w14:paraId="3744B602" w14:textId="77777777" w:rsidR="00022DBC" w:rsidRPr="008828D9" w:rsidRDefault="00022DBC" w:rsidP="00022DBC">
      <w:pPr>
        <w:pStyle w:val="FSBullet1"/>
        <w:rPr>
          <w:b/>
        </w:rPr>
      </w:pPr>
      <w:r w:rsidRPr="008828D9">
        <w:rPr>
          <w:b/>
        </w:rPr>
        <w:t>the desirability of an efficient and internationally competitive food industry</w:t>
      </w:r>
    </w:p>
    <w:p w14:paraId="620734AE" w14:textId="77777777" w:rsidR="008828D9" w:rsidRDefault="008828D9" w:rsidP="008828D9">
      <w:pPr>
        <w:rPr>
          <w:lang w:bidi="ar-SA"/>
        </w:rPr>
      </w:pPr>
    </w:p>
    <w:p w14:paraId="45F06D19" w14:textId="177064D8" w:rsidR="009C154C" w:rsidRPr="00813F2A" w:rsidRDefault="004C20E4" w:rsidP="009C154C">
      <w:pPr>
        <w:spacing w:before="120"/>
      </w:pPr>
      <w:r w:rsidRPr="002B3EEA">
        <w:rPr>
          <w:lang w:bidi="ar-SA"/>
        </w:rPr>
        <w:t xml:space="preserve">Aligning microbiological criteria with an internationally agreed approach is supportive of an efficient and internationally competitive food industry. </w:t>
      </w:r>
      <w:r w:rsidR="009C154C">
        <w:t xml:space="preserve">Australian producers are already meeting criteria as presented in the proposed changes to meet the international regulatory requirements. </w:t>
      </w:r>
    </w:p>
    <w:p w14:paraId="5607BEE6" w14:textId="77777777" w:rsidR="008828D9" w:rsidRPr="008828D9" w:rsidRDefault="008828D9" w:rsidP="008828D9">
      <w:pPr>
        <w:rPr>
          <w:lang w:bidi="ar-SA"/>
        </w:rPr>
      </w:pPr>
    </w:p>
    <w:p w14:paraId="02336F73" w14:textId="77777777" w:rsidR="00022DBC" w:rsidRPr="008828D9" w:rsidRDefault="00022DBC" w:rsidP="00022DBC">
      <w:pPr>
        <w:pStyle w:val="FSBullet1"/>
        <w:rPr>
          <w:b/>
        </w:rPr>
      </w:pPr>
      <w:r w:rsidRPr="008828D9">
        <w:rPr>
          <w:b/>
        </w:rPr>
        <w:t>the promotion of fair trading in food</w:t>
      </w:r>
    </w:p>
    <w:p w14:paraId="0A4745DA" w14:textId="77777777" w:rsidR="008828D9" w:rsidRDefault="008828D9" w:rsidP="008828D9">
      <w:pPr>
        <w:rPr>
          <w:lang w:bidi="ar-SA"/>
        </w:rPr>
      </w:pPr>
    </w:p>
    <w:p w14:paraId="652DCF74" w14:textId="38EF5D9C" w:rsidR="0037182C" w:rsidRDefault="009C154C" w:rsidP="009C154C">
      <w:pPr>
        <w:rPr>
          <w:lang w:bidi="ar-SA"/>
        </w:rPr>
      </w:pPr>
      <w:r>
        <w:rPr>
          <w:lang w:bidi="ar-SA"/>
        </w:rPr>
        <w:t>No issues were identified.</w:t>
      </w:r>
      <w:r w:rsidR="0037182C">
        <w:rPr>
          <w:lang w:bidi="ar-SA"/>
        </w:rPr>
        <w:br w:type="page"/>
      </w:r>
    </w:p>
    <w:p w14:paraId="7EA87509" w14:textId="7616A132" w:rsidR="00022DBC" w:rsidRPr="005E2F53" w:rsidRDefault="00022DBC" w:rsidP="00022DBC">
      <w:pPr>
        <w:pStyle w:val="FSBullet1"/>
      </w:pPr>
      <w:r w:rsidRPr="008828D9">
        <w:rPr>
          <w:b/>
        </w:rPr>
        <w:lastRenderedPageBreak/>
        <w:t>any written policy guidelines formulated by the Ministerial Council</w:t>
      </w:r>
      <w:r w:rsidRPr="005E2F53">
        <w:rPr>
          <w:rStyle w:val="FootnoteReference"/>
        </w:rPr>
        <w:footnoteReference w:id="5"/>
      </w:r>
    </w:p>
    <w:p w14:paraId="1F9EC977" w14:textId="77777777" w:rsidR="00022DBC" w:rsidRDefault="00022DBC" w:rsidP="00022DBC">
      <w:pPr>
        <w:rPr>
          <w:lang w:bidi="ar-SA"/>
        </w:rPr>
      </w:pPr>
    </w:p>
    <w:p w14:paraId="4DA939D2" w14:textId="77777777" w:rsidR="00AD6978" w:rsidRPr="002B3EEA" w:rsidRDefault="00AD6978" w:rsidP="00AD6978">
      <w:r w:rsidRPr="002B3EEA">
        <w:t>There are no written policy guidelines relevant to the assessment of this Proposal.</w:t>
      </w:r>
    </w:p>
    <w:p w14:paraId="05B085B3" w14:textId="77777777" w:rsidR="00E520FE" w:rsidRPr="00AD6978" w:rsidRDefault="00E520FE" w:rsidP="00DD3C5E"/>
    <w:p w14:paraId="6005E9EF" w14:textId="4A60A102" w:rsidR="005F7342" w:rsidRPr="00AD6978" w:rsidRDefault="00867B23" w:rsidP="00E203C2">
      <w:pPr>
        <w:pStyle w:val="Heading1"/>
      </w:pPr>
      <w:bookmarkStart w:id="62" w:name="_Toc286391014"/>
      <w:bookmarkStart w:id="63" w:name="_Toc175381455"/>
      <w:bookmarkStart w:id="64" w:name="_Toc300933445"/>
      <w:bookmarkStart w:id="65" w:name="_Toc431997688"/>
      <w:bookmarkEnd w:id="20"/>
      <w:bookmarkEnd w:id="21"/>
      <w:bookmarkEnd w:id="22"/>
      <w:bookmarkEnd w:id="23"/>
      <w:bookmarkEnd w:id="24"/>
      <w:bookmarkEnd w:id="25"/>
      <w:bookmarkEnd w:id="34"/>
      <w:r w:rsidRPr="00AD6978">
        <w:t>3</w:t>
      </w:r>
      <w:r w:rsidR="00F604DE" w:rsidRPr="00AD6978">
        <w:tab/>
      </w:r>
      <w:bookmarkEnd w:id="62"/>
      <w:bookmarkEnd w:id="63"/>
      <w:bookmarkEnd w:id="64"/>
      <w:r w:rsidR="00D14405" w:rsidRPr="00AD6978">
        <w:t>Draft variation</w:t>
      </w:r>
      <w:bookmarkEnd w:id="65"/>
    </w:p>
    <w:p w14:paraId="1D4F4B01" w14:textId="258B0523" w:rsidR="005358B0" w:rsidRPr="00AD6978" w:rsidRDefault="005358B0" w:rsidP="005358B0">
      <w:r w:rsidRPr="00AD6978">
        <w:t xml:space="preserve">The draft variation to the revised Code </w:t>
      </w:r>
      <w:r w:rsidR="00056B04">
        <w:t>is</w:t>
      </w:r>
      <w:r w:rsidRPr="00AD6978">
        <w:t xml:space="preserve"> at Attachment </w:t>
      </w:r>
      <w:r w:rsidR="00F92762" w:rsidRPr="00AD6978">
        <w:t>A</w:t>
      </w:r>
      <w:r w:rsidRPr="00AD6978">
        <w:t xml:space="preserve">. The variation is intended to take effect on </w:t>
      </w:r>
      <w:r w:rsidR="00056B04">
        <w:t>gazettal</w:t>
      </w:r>
      <w:r w:rsidRPr="00AD6978">
        <w:t>.</w:t>
      </w:r>
    </w:p>
    <w:p w14:paraId="05FD1ACB" w14:textId="77777777" w:rsidR="005358B0" w:rsidRPr="00AD6978" w:rsidRDefault="005358B0" w:rsidP="00A12B44"/>
    <w:p w14:paraId="59F97E6A" w14:textId="000526F7" w:rsidR="00A12B44" w:rsidRPr="00AD6978" w:rsidRDefault="00056B04" w:rsidP="00A12B44">
      <w:pPr>
        <w:rPr>
          <w:u w:val="single"/>
        </w:rPr>
      </w:pPr>
      <w:r>
        <w:t xml:space="preserve">The draft Explanatory Statement is at Attachment B. </w:t>
      </w:r>
      <w:r w:rsidR="00D26814" w:rsidRPr="00AD6978">
        <w:t>An explanatory statement is required to accompany an instrument if it is lodged on the Federal Register of Legislative Instruments</w:t>
      </w:r>
      <w:r w:rsidR="00407DF4" w:rsidRPr="00AD6978">
        <w:t xml:space="preserve"> (FRLI)</w:t>
      </w:r>
      <w:r w:rsidR="00D26814" w:rsidRPr="00AD6978">
        <w:t xml:space="preserve">. </w:t>
      </w:r>
    </w:p>
    <w:p w14:paraId="7BE87A0C" w14:textId="5067095D" w:rsidR="00D26814" w:rsidRPr="00924C80" w:rsidRDefault="00D26814" w:rsidP="002432EE">
      <w:pPr>
        <w:rPr>
          <w:rFonts w:cs="Arial"/>
          <w:color w:val="FF0000"/>
        </w:rPr>
      </w:pPr>
      <w:bookmarkStart w:id="66" w:name="_Toc11735642"/>
      <w:bookmarkStart w:id="67" w:name="_Toc29883129"/>
      <w:bookmarkStart w:id="68" w:name="_Toc41906816"/>
      <w:bookmarkStart w:id="69" w:name="_Toc41907563"/>
      <w:bookmarkStart w:id="70" w:name="_Toc120358595"/>
      <w:bookmarkStart w:id="71" w:name="_Toc175381457"/>
      <w:bookmarkStart w:id="72" w:name="_Toc300761918"/>
      <w:bookmarkStart w:id="73" w:name="_Toc300933450"/>
      <w:bookmarkStart w:id="74" w:name="_Toc11735643"/>
      <w:bookmarkStart w:id="75" w:name="_Toc29883130"/>
      <w:bookmarkStart w:id="76" w:name="_Toc41906817"/>
      <w:bookmarkStart w:id="77" w:name="_Toc41907564"/>
      <w:bookmarkStart w:id="78" w:name="_Toc43112360"/>
      <w:bookmarkEnd w:id="66"/>
      <w:bookmarkEnd w:id="67"/>
      <w:bookmarkEnd w:id="68"/>
      <w:bookmarkEnd w:id="69"/>
      <w:bookmarkEnd w:id="70"/>
      <w:bookmarkEnd w:id="71"/>
      <w:bookmarkEnd w:id="72"/>
      <w:bookmarkEnd w:id="73"/>
    </w:p>
    <w:p w14:paraId="209F1B91" w14:textId="77777777" w:rsidR="00924C80" w:rsidRPr="0095379E" w:rsidRDefault="00867B23" w:rsidP="00E75054">
      <w:pPr>
        <w:pStyle w:val="Heading1"/>
      </w:pPr>
      <w:bookmarkStart w:id="79" w:name="_Toc300933452"/>
      <w:bookmarkStart w:id="80" w:name="_Toc431997689"/>
      <w:r w:rsidRPr="0095379E">
        <w:t>4</w:t>
      </w:r>
      <w:r w:rsidR="00924C80" w:rsidRPr="0095379E">
        <w:tab/>
        <w:t>R</w:t>
      </w:r>
      <w:bookmarkEnd w:id="79"/>
      <w:r w:rsidR="006C28E2" w:rsidRPr="0095379E">
        <w:t>eferences</w:t>
      </w:r>
      <w:bookmarkEnd w:id="80"/>
    </w:p>
    <w:p w14:paraId="12F1513C" w14:textId="28059FEF" w:rsidR="00924C80" w:rsidRPr="0095379E" w:rsidRDefault="00E76560" w:rsidP="00924C80">
      <w:pPr>
        <w:rPr>
          <w:rFonts w:cs="Arial"/>
          <w:sz w:val="20"/>
          <w:szCs w:val="20"/>
          <w:lang w:eastAsia="en-AU" w:bidi="ar-SA"/>
        </w:rPr>
      </w:pPr>
      <w:r w:rsidRPr="0095379E">
        <w:rPr>
          <w:rFonts w:cs="Arial"/>
          <w:sz w:val="20"/>
          <w:szCs w:val="20"/>
          <w:lang w:eastAsia="en-AU" w:bidi="ar-SA"/>
        </w:rPr>
        <w:t xml:space="preserve">Codex (2008) </w:t>
      </w:r>
      <w:r w:rsidRPr="0095379E">
        <w:rPr>
          <w:rFonts w:cs="Arial"/>
          <w:i/>
          <w:sz w:val="20"/>
          <w:szCs w:val="20"/>
          <w:lang w:eastAsia="en-AU" w:bidi="ar-SA"/>
        </w:rPr>
        <w:t>Code of hygienic practice for powdered infant formulae for infants and young children</w:t>
      </w:r>
      <w:r w:rsidRPr="0095379E">
        <w:rPr>
          <w:rFonts w:cs="Arial"/>
          <w:sz w:val="20"/>
          <w:szCs w:val="20"/>
          <w:lang w:eastAsia="en-AU" w:bidi="ar-SA"/>
        </w:rPr>
        <w:t xml:space="preserve"> </w:t>
      </w:r>
      <w:r w:rsidR="0095379E" w:rsidRPr="0095379E">
        <w:rPr>
          <w:rFonts w:cs="Arial"/>
          <w:sz w:val="20"/>
          <w:szCs w:val="20"/>
          <w:lang w:eastAsia="en-AU" w:bidi="ar-SA"/>
        </w:rPr>
        <w:t>(</w:t>
      </w:r>
      <w:r w:rsidRPr="0095379E">
        <w:rPr>
          <w:rFonts w:cs="Arial"/>
          <w:sz w:val="20"/>
          <w:szCs w:val="20"/>
          <w:lang w:eastAsia="en-AU" w:bidi="ar-SA"/>
        </w:rPr>
        <w:t xml:space="preserve">CAC/RCP 66 </w:t>
      </w:r>
      <w:r w:rsidR="0095379E" w:rsidRPr="0095379E">
        <w:rPr>
          <w:rFonts w:cs="Arial"/>
          <w:sz w:val="20"/>
          <w:szCs w:val="20"/>
          <w:lang w:eastAsia="en-AU" w:bidi="ar-SA"/>
        </w:rPr>
        <w:t>–</w:t>
      </w:r>
      <w:r w:rsidRPr="0095379E">
        <w:rPr>
          <w:rFonts w:cs="Arial"/>
          <w:sz w:val="20"/>
          <w:szCs w:val="20"/>
          <w:lang w:eastAsia="en-AU" w:bidi="ar-SA"/>
        </w:rPr>
        <w:t xml:space="preserve"> 2008</w:t>
      </w:r>
      <w:r w:rsidR="0095379E" w:rsidRPr="0095379E">
        <w:rPr>
          <w:rFonts w:cs="Arial"/>
          <w:sz w:val="20"/>
          <w:szCs w:val="20"/>
          <w:lang w:eastAsia="en-AU" w:bidi="ar-SA"/>
        </w:rPr>
        <w:t>)</w:t>
      </w:r>
      <w:r w:rsidRPr="0095379E">
        <w:rPr>
          <w:rFonts w:cs="Arial"/>
          <w:sz w:val="20"/>
          <w:szCs w:val="20"/>
          <w:lang w:eastAsia="en-AU" w:bidi="ar-SA"/>
        </w:rPr>
        <w:t xml:space="preserve">, </w:t>
      </w:r>
      <w:hyperlink r:id="rId25" w:history="1">
        <w:r w:rsidRPr="0095379E">
          <w:rPr>
            <w:rStyle w:val="Hyperlink"/>
            <w:rFonts w:cs="Arial"/>
            <w:sz w:val="20"/>
            <w:szCs w:val="20"/>
            <w:lang w:eastAsia="en-AU" w:bidi="ar-SA"/>
          </w:rPr>
          <w:t>http://www.codexalimentarius.org/standards/list-standards/en/?no_cache=1</w:t>
        </w:r>
      </w:hyperlink>
      <w:r w:rsidRPr="0095379E">
        <w:rPr>
          <w:rFonts w:cs="Arial"/>
          <w:sz w:val="20"/>
          <w:szCs w:val="20"/>
          <w:lang w:eastAsia="en-AU" w:bidi="ar-SA"/>
        </w:rPr>
        <w:t xml:space="preserve"> accessed 28 July 2015.</w:t>
      </w:r>
    </w:p>
    <w:p w14:paraId="5D6525D7" w14:textId="77777777" w:rsidR="00E76560" w:rsidRPr="0095379E" w:rsidRDefault="00E76560" w:rsidP="00924C80">
      <w:pPr>
        <w:rPr>
          <w:rFonts w:cs="Arial"/>
          <w:sz w:val="20"/>
          <w:szCs w:val="20"/>
          <w:lang w:eastAsia="en-AU" w:bidi="ar-SA"/>
        </w:rPr>
      </w:pPr>
    </w:p>
    <w:p w14:paraId="172B7761" w14:textId="13C4AD0E" w:rsidR="0095379E" w:rsidRDefault="0095379E" w:rsidP="0095379E">
      <w:pPr>
        <w:rPr>
          <w:sz w:val="20"/>
          <w:szCs w:val="20"/>
        </w:rPr>
      </w:pPr>
      <w:r w:rsidRPr="0095379E">
        <w:rPr>
          <w:sz w:val="20"/>
          <w:szCs w:val="20"/>
        </w:rPr>
        <w:t xml:space="preserve">Codex (2013) </w:t>
      </w:r>
      <w:r w:rsidRPr="0095379E">
        <w:rPr>
          <w:i/>
          <w:sz w:val="20"/>
          <w:szCs w:val="20"/>
        </w:rPr>
        <w:t xml:space="preserve">Principles and Guidelines for the Establishment and Application of Microbiological Criteria for Foods </w:t>
      </w:r>
      <w:r w:rsidRPr="0095379E">
        <w:rPr>
          <w:sz w:val="20"/>
          <w:szCs w:val="20"/>
        </w:rPr>
        <w:t>(CAC/GL 21 – 1997 [revised and renamed 2013]). Codex Alimentarius Commission, Geneva, Switzerland.</w:t>
      </w:r>
    </w:p>
    <w:p w14:paraId="342BD2CD" w14:textId="77777777" w:rsidR="00E028C7" w:rsidRDefault="00E028C7" w:rsidP="0095379E">
      <w:pPr>
        <w:rPr>
          <w:sz w:val="20"/>
          <w:szCs w:val="20"/>
        </w:rPr>
      </w:pPr>
    </w:p>
    <w:p w14:paraId="5FACF7DA" w14:textId="734558EE" w:rsidR="00E80B91" w:rsidRDefault="00E028C7" w:rsidP="0095379E">
      <w:pPr>
        <w:rPr>
          <w:sz w:val="20"/>
          <w:szCs w:val="20"/>
        </w:rPr>
      </w:pPr>
      <w:r>
        <w:rPr>
          <w:sz w:val="20"/>
          <w:szCs w:val="20"/>
        </w:rPr>
        <w:t>I</w:t>
      </w:r>
      <w:r w:rsidR="009174D2">
        <w:rPr>
          <w:sz w:val="20"/>
          <w:szCs w:val="20"/>
        </w:rPr>
        <w:t xml:space="preserve">nternational Commission on </w:t>
      </w:r>
      <w:r>
        <w:rPr>
          <w:sz w:val="20"/>
          <w:szCs w:val="20"/>
        </w:rPr>
        <w:t>M</w:t>
      </w:r>
      <w:r w:rsidR="009174D2">
        <w:rPr>
          <w:sz w:val="20"/>
          <w:szCs w:val="20"/>
        </w:rPr>
        <w:t xml:space="preserve">icrobiological </w:t>
      </w:r>
      <w:r>
        <w:rPr>
          <w:sz w:val="20"/>
          <w:szCs w:val="20"/>
        </w:rPr>
        <w:t>S</w:t>
      </w:r>
      <w:r w:rsidR="009174D2">
        <w:rPr>
          <w:sz w:val="20"/>
          <w:szCs w:val="20"/>
        </w:rPr>
        <w:t xml:space="preserve">pecifications for </w:t>
      </w:r>
      <w:r>
        <w:rPr>
          <w:sz w:val="20"/>
          <w:szCs w:val="20"/>
        </w:rPr>
        <w:t>F</w:t>
      </w:r>
      <w:r w:rsidR="009174D2">
        <w:rPr>
          <w:sz w:val="20"/>
          <w:szCs w:val="20"/>
        </w:rPr>
        <w:t>oods</w:t>
      </w:r>
      <w:r>
        <w:rPr>
          <w:sz w:val="20"/>
          <w:szCs w:val="20"/>
        </w:rPr>
        <w:t xml:space="preserve"> (2002) </w:t>
      </w:r>
      <w:r w:rsidRPr="009174D2">
        <w:rPr>
          <w:i/>
          <w:sz w:val="20"/>
          <w:szCs w:val="20"/>
        </w:rPr>
        <w:t>Microorg</w:t>
      </w:r>
      <w:r w:rsidR="009174D2" w:rsidRPr="009174D2">
        <w:rPr>
          <w:i/>
          <w:sz w:val="20"/>
          <w:szCs w:val="20"/>
        </w:rPr>
        <w:t>a</w:t>
      </w:r>
      <w:r w:rsidRPr="009174D2">
        <w:rPr>
          <w:i/>
          <w:sz w:val="20"/>
          <w:szCs w:val="20"/>
        </w:rPr>
        <w:t>nisms in Foods 7</w:t>
      </w:r>
      <w:r w:rsidR="009174D2" w:rsidRPr="009174D2">
        <w:rPr>
          <w:i/>
          <w:sz w:val="20"/>
          <w:szCs w:val="20"/>
        </w:rPr>
        <w:t>:</w:t>
      </w:r>
      <w:r w:rsidRPr="009174D2">
        <w:rPr>
          <w:i/>
          <w:sz w:val="20"/>
          <w:szCs w:val="20"/>
        </w:rPr>
        <w:t xml:space="preserve"> Microbiological Testing in Food Safety Management</w:t>
      </w:r>
      <w:r w:rsidR="009174D2">
        <w:rPr>
          <w:sz w:val="20"/>
          <w:szCs w:val="20"/>
        </w:rPr>
        <w:t>. Springer, New York.</w:t>
      </w:r>
      <w:r>
        <w:rPr>
          <w:sz w:val="20"/>
          <w:szCs w:val="20"/>
        </w:rPr>
        <w:t xml:space="preserve"> </w:t>
      </w:r>
    </w:p>
    <w:p w14:paraId="74206E74" w14:textId="2678BBF9" w:rsidR="00E80B91" w:rsidRPr="0095379E" w:rsidRDefault="00E80B91" w:rsidP="0095379E">
      <w:pPr>
        <w:rPr>
          <w:sz w:val="20"/>
          <w:szCs w:val="20"/>
        </w:rPr>
      </w:pPr>
      <w:r>
        <w:rPr>
          <w:sz w:val="20"/>
          <w:szCs w:val="20"/>
        </w:rPr>
        <w:t xml:space="preserve">International Commission on Microbiological Specifications for Foods (2011) </w:t>
      </w:r>
      <w:r w:rsidRPr="00E80B91">
        <w:rPr>
          <w:i/>
          <w:sz w:val="20"/>
          <w:szCs w:val="20"/>
        </w:rPr>
        <w:t>Microorganisms in Foods 8: Use of Data for Assessing Process Control and Product Acceptance</w:t>
      </w:r>
      <w:r>
        <w:rPr>
          <w:sz w:val="20"/>
          <w:szCs w:val="20"/>
        </w:rPr>
        <w:t>. Springer, New York.</w:t>
      </w:r>
    </w:p>
    <w:bookmarkEnd w:id="74"/>
    <w:bookmarkEnd w:id="75"/>
    <w:bookmarkEnd w:id="76"/>
    <w:bookmarkEnd w:id="77"/>
    <w:bookmarkEnd w:id="78"/>
    <w:p w14:paraId="4EC6302E"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24333632" w14:textId="77777777" w:rsidR="00A4175D" w:rsidRPr="00E203C2" w:rsidRDefault="00A4175D" w:rsidP="00AF06FC"/>
    <w:p w14:paraId="573F0A25" w14:textId="40D770B1" w:rsidR="00056B04" w:rsidRDefault="00AB0275" w:rsidP="00AB0275">
      <w:pPr>
        <w:ind w:left="567" w:hanging="567"/>
        <w:rPr>
          <w:i/>
        </w:rPr>
      </w:pPr>
      <w:r>
        <w:t>A.</w:t>
      </w:r>
      <w:r>
        <w:tab/>
      </w:r>
      <w:r w:rsidR="00EE41FE">
        <w:t>D</w:t>
      </w:r>
      <w:r w:rsidRPr="00456BD5">
        <w:t xml:space="preserve">raft variation to the </w:t>
      </w:r>
      <w:r w:rsidRPr="00456BD5">
        <w:rPr>
          <w:i/>
        </w:rPr>
        <w:t>Australia New Zealand Food Standards Code</w:t>
      </w:r>
    </w:p>
    <w:p w14:paraId="77A3636D" w14:textId="5EF0CFEA" w:rsidR="00AB0275" w:rsidRPr="00880912" w:rsidRDefault="00056B04" w:rsidP="00AB0275">
      <w:pPr>
        <w:ind w:left="567" w:hanging="567"/>
      </w:pPr>
      <w:r w:rsidRPr="00F81F3F">
        <w:t>B.</w:t>
      </w:r>
      <w:r w:rsidRPr="00F81F3F">
        <w:tab/>
      </w:r>
      <w:r w:rsidR="00AB0275" w:rsidRPr="00880912">
        <w:t xml:space="preserve">Explanatory Statement </w:t>
      </w:r>
    </w:p>
    <w:p w14:paraId="522A4109" w14:textId="77777777" w:rsidR="00D60568" w:rsidRPr="00E203C2" w:rsidRDefault="00D60568" w:rsidP="002432EE"/>
    <w:p w14:paraId="3A0DDA99" w14:textId="03A06C15" w:rsidR="00AB0275" w:rsidRDefault="00AB0275" w:rsidP="00AB0275">
      <w:pPr>
        <w:pStyle w:val="Heading2"/>
        <w:ind w:left="0" w:firstLine="0"/>
      </w:pPr>
      <w:bookmarkStart w:id="81" w:name="_Toc300933454"/>
      <w:r w:rsidRPr="00932F14">
        <w:br w:type="page"/>
      </w:r>
      <w:bookmarkStart w:id="82" w:name="_Toc29883131"/>
      <w:bookmarkStart w:id="83" w:name="_Toc41906818"/>
      <w:bookmarkStart w:id="84" w:name="_Toc41907565"/>
      <w:bookmarkStart w:id="85" w:name="_Toc120358596"/>
      <w:bookmarkStart w:id="86" w:name="_Toc175381458"/>
      <w:bookmarkStart w:id="87" w:name="_Toc11735644"/>
      <w:bookmarkStart w:id="88" w:name="_Toc415572037"/>
      <w:bookmarkStart w:id="89" w:name="_Toc431997690"/>
      <w:r w:rsidRPr="00932F14">
        <w:lastRenderedPageBreak/>
        <w:t xml:space="preserve">Attachment </w:t>
      </w:r>
      <w:bookmarkEnd w:id="82"/>
      <w:bookmarkEnd w:id="83"/>
      <w:bookmarkEnd w:id="84"/>
      <w:bookmarkEnd w:id="85"/>
      <w:bookmarkEnd w:id="86"/>
      <w:r>
        <w:t>A</w:t>
      </w:r>
      <w:bookmarkStart w:id="90" w:name="_Toc120358597"/>
      <w:bookmarkStart w:id="91" w:name="_Toc175381459"/>
      <w:bookmarkEnd w:id="87"/>
      <w:r>
        <w:t xml:space="preserve"> –</w:t>
      </w:r>
      <w:r w:rsidR="00CA3C65">
        <w:t xml:space="preserve"> D</w:t>
      </w:r>
      <w:r>
        <w:t xml:space="preserve">raft </w:t>
      </w:r>
      <w:r w:rsidRPr="00932F14">
        <w:t>variation to the</w:t>
      </w:r>
      <w:r w:rsidRPr="00755F02">
        <w:t xml:space="preserve"> </w:t>
      </w:r>
      <w:r w:rsidRPr="00795D86">
        <w:rPr>
          <w:i/>
        </w:rPr>
        <w:t>Australia New Zealand Food Standards Code</w:t>
      </w:r>
      <w:bookmarkEnd w:id="88"/>
      <w:bookmarkEnd w:id="90"/>
      <w:bookmarkEnd w:id="91"/>
      <w:bookmarkEnd w:id="89"/>
      <w:r w:rsidR="00CE4EE2">
        <w:rPr>
          <w:i/>
        </w:rPr>
        <w:t xml:space="preserve"> </w:t>
      </w:r>
    </w:p>
    <w:p w14:paraId="151CF8F3" w14:textId="77777777" w:rsidR="00C366D2" w:rsidRPr="00C366D2" w:rsidRDefault="00C366D2" w:rsidP="00C366D2">
      <w:pPr>
        <w:tabs>
          <w:tab w:val="left" w:pos="851"/>
        </w:tabs>
        <w:rPr>
          <w:noProof/>
          <w:sz w:val="20"/>
          <w:szCs w:val="20"/>
          <w:lang w:val="en-AU" w:eastAsia="en-AU" w:bidi="ar-SA"/>
        </w:rPr>
      </w:pPr>
      <w:r w:rsidRPr="00C366D2">
        <w:rPr>
          <w:noProof/>
          <w:sz w:val="20"/>
          <w:szCs w:val="20"/>
          <w:lang w:eastAsia="en-GB" w:bidi="ar-SA"/>
        </w:rPr>
        <w:drawing>
          <wp:inline distT="0" distB="0" distL="0" distR="0" wp14:anchorId="677D1DCD" wp14:editId="45ED40C7">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874D6F" w14:textId="77777777" w:rsidR="00C366D2" w:rsidRPr="00C366D2" w:rsidRDefault="00C366D2" w:rsidP="00C366D2">
      <w:pPr>
        <w:pBdr>
          <w:bottom w:val="single" w:sz="4" w:space="1" w:color="auto"/>
        </w:pBdr>
        <w:tabs>
          <w:tab w:val="left" w:pos="851"/>
        </w:tabs>
        <w:rPr>
          <w:b/>
          <w:bCs/>
          <w:szCs w:val="20"/>
          <w:lang w:bidi="ar-SA"/>
        </w:rPr>
      </w:pPr>
    </w:p>
    <w:p w14:paraId="48B255EB" w14:textId="77777777" w:rsidR="00C366D2" w:rsidRPr="00C366D2" w:rsidRDefault="00C366D2" w:rsidP="00C366D2">
      <w:pPr>
        <w:pBdr>
          <w:bottom w:val="single" w:sz="4" w:space="1" w:color="auto"/>
        </w:pBdr>
        <w:tabs>
          <w:tab w:val="left" w:pos="851"/>
        </w:tabs>
        <w:rPr>
          <w:b/>
          <w:sz w:val="20"/>
          <w:szCs w:val="20"/>
          <w:lang w:bidi="ar-SA"/>
        </w:rPr>
      </w:pPr>
      <w:r w:rsidRPr="00C366D2">
        <w:rPr>
          <w:b/>
          <w:sz w:val="20"/>
          <w:szCs w:val="20"/>
          <w:lang w:bidi="ar-SA"/>
        </w:rPr>
        <w:t>Food Standards (Proposal P1039 – Microbiological Criteria for Infant Formula) Variation</w:t>
      </w:r>
    </w:p>
    <w:p w14:paraId="7C96F3DB" w14:textId="77777777" w:rsidR="00C366D2" w:rsidRPr="00C366D2" w:rsidRDefault="00C366D2" w:rsidP="00C366D2">
      <w:pPr>
        <w:pBdr>
          <w:bottom w:val="single" w:sz="4" w:space="1" w:color="auto"/>
        </w:pBdr>
        <w:tabs>
          <w:tab w:val="left" w:pos="851"/>
        </w:tabs>
        <w:rPr>
          <w:b/>
          <w:sz w:val="20"/>
          <w:szCs w:val="20"/>
          <w:lang w:bidi="ar-SA"/>
        </w:rPr>
      </w:pPr>
    </w:p>
    <w:p w14:paraId="46161072" w14:textId="77777777" w:rsidR="00C366D2" w:rsidRPr="00C366D2" w:rsidRDefault="00C366D2" w:rsidP="00C366D2">
      <w:pPr>
        <w:tabs>
          <w:tab w:val="left" w:pos="851"/>
        </w:tabs>
        <w:rPr>
          <w:sz w:val="20"/>
          <w:szCs w:val="20"/>
          <w:lang w:bidi="ar-SA"/>
        </w:rPr>
      </w:pPr>
    </w:p>
    <w:p w14:paraId="5781B0DE" w14:textId="77777777" w:rsidR="00C366D2" w:rsidRPr="00C366D2" w:rsidRDefault="00C366D2" w:rsidP="00C366D2">
      <w:pPr>
        <w:tabs>
          <w:tab w:val="left" w:pos="851"/>
        </w:tabs>
        <w:rPr>
          <w:sz w:val="20"/>
          <w:szCs w:val="20"/>
          <w:lang w:bidi="ar-SA"/>
        </w:rPr>
      </w:pPr>
      <w:r w:rsidRPr="00C366D2">
        <w:rPr>
          <w:sz w:val="20"/>
          <w:szCs w:val="20"/>
          <w:lang w:bidi="ar-SA"/>
        </w:rPr>
        <w:t xml:space="preserve">The Board of Food Standards Australia New Zealand gives notice of the making of this variation under section 92 of the </w:t>
      </w:r>
      <w:r w:rsidRPr="00C366D2">
        <w:rPr>
          <w:i/>
          <w:sz w:val="20"/>
          <w:szCs w:val="20"/>
          <w:lang w:bidi="ar-SA"/>
        </w:rPr>
        <w:t>Food Standards Australia New Zealand Act 1991</w:t>
      </w:r>
      <w:r w:rsidRPr="00C366D2">
        <w:rPr>
          <w:sz w:val="20"/>
          <w:szCs w:val="20"/>
          <w:lang w:bidi="ar-SA"/>
        </w:rPr>
        <w:t>.  The variation commences on the date specified in clause 3 of this variation.</w:t>
      </w:r>
    </w:p>
    <w:p w14:paraId="256B0B1E" w14:textId="77777777" w:rsidR="00C366D2" w:rsidRPr="00C366D2" w:rsidRDefault="00C366D2" w:rsidP="00C366D2">
      <w:pPr>
        <w:tabs>
          <w:tab w:val="left" w:pos="851"/>
        </w:tabs>
        <w:rPr>
          <w:sz w:val="20"/>
          <w:szCs w:val="20"/>
          <w:lang w:bidi="ar-SA"/>
        </w:rPr>
      </w:pPr>
    </w:p>
    <w:p w14:paraId="169648E8" w14:textId="77777777" w:rsidR="00C366D2" w:rsidRPr="00C366D2" w:rsidRDefault="00C366D2" w:rsidP="00C366D2">
      <w:pPr>
        <w:tabs>
          <w:tab w:val="left" w:pos="851"/>
        </w:tabs>
        <w:rPr>
          <w:sz w:val="20"/>
          <w:szCs w:val="20"/>
          <w:lang w:bidi="ar-SA"/>
        </w:rPr>
      </w:pPr>
      <w:r w:rsidRPr="00C366D2">
        <w:rPr>
          <w:sz w:val="20"/>
          <w:szCs w:val="20"/>
          <w:lang w:bidi="ar-SA"/>
        </w:rPr>
        <w:t>Dated [To be completed by Standards Management Officer]</w:t>
      </w:r>
    </w:p>
    <w:p w14:paraId="1E7798F1" w14:textId="77777777" w:rsidR="00C366D2" w:rsidRPr="00C366D2" w:rsidRDefault="00C366D2" w:rsidP="00C366D2">
      <w:pPr>
        <w:tabs>
          <w:tab w:val="left" w:pos="851"/>
        </w:tabs>
        <w:rPr>
          <w:sz w:val="20"/>
          <w:szCs w:val="20"/>
          <w:lang w:bidi="ar-SA"/>
        </w:rPr>
      </w:pPr>
    </w:p>
    <w:p w14:paraId="6D3312EA" w14:textId="77777777" w:rsidR="00C366D2" w:rsidRPr="00C366D2" w:rsidRDefault="00C366D2" w:rsidP="00C366D2">
      <w:pPr>
        <w:tabs>
          <w:tab w:val="left" w:pos="851"/>
        </w:tabs>
        <w:rPr>
          <w:sz w:val="20"/>
          <w:szCs w:val="20"/>
          <w:lang w:bidi="ar-SA"/>
        </w:rPr>
      </w:pPr>
    </w:p>
    <w:p w14:paraId="5B699224" w14:textId="77777777" w:rsidR="00C366D2" w:rsidRPr="00C366D2" w:rsidRDefault="00C366D2" w:rsidP="00C366D2">
      <w:pPr>
        <w:tabs>
          <w:tab w:val="left" w:pos="851"/>
        </w:tabs>
        <w:rPr>
          <w:sz w:val="20"/>
          <w:szCs w:val="20"/>
          <w:lang w:bidi="ar-SA"/>
        </w:rPr>
      </w:pPr>
    </w:p>
    <w:p w14:paraId="7C186815" w14:textId="77777777" w:rsidR="00C366D2" w:rsidRPr="00C366D2" w:rsidRDefault="00C366D2" w:rsidP="00C366D2">
      <w:pPr>
        <w:tabs>
          <w:tab w:val="left" w:pos="851"/>
        </w:tabs>
        <w:rPr>
          <w:sz w:val="20"/>
          <w:szCs w:val="20"/>
          <w:lang w:bidi="ar-SA"/>
        </w:rPr>
      </w:pPr>
    </w:p>
    <w:p w14:paraId="4F5DFB3E" w14:textId="77777777" w:rsidR="00C366D2" w:rsidRPr="00C366D2" w:rsidRDefault="00C366D2" w:rsidP="00C366D2">
      <w:pPr>
        <w:tabs>
          <w:tab w:val="left" w:pos="851"/>
        </w:tabs>
        <w:rPr>
          <w:sz w:val="20"/>
          <w:szCs w:val="20"/>
          <w:lang w:bidi="ar-SA"/>
        </w:rPr>
      </w:pPr>
    </w:p>
    <w:p w14:paraId="637C5F0D" w14:textId="77777777" w:rsidR="00C366D2" w:rsidRPr="00C366D2" w:rsidRDefault="00C366D2" w:rsidP="00C366D2">
      <w:pPr>
        <w:tabs>
          <w:tab w:val="left" w:pos="851"/>
        </w:tabs>
        <w:rPr>
          <w:sz w:val="20"/>
          <w:szCs w:val="20"/>
          <w:lang w:bidi="ar-SA"/>
        </w:rPr>
      </w:pPr>
      <w:r w:rsidRPr="00C366D2">
        <w:rPr>
          <w:sz w:val="20"/>
          <w:szCs w:val="20"/>
          <w:lang w:bidi="ar-SA"/>
        </w:rPr>
        <w:t>Standards Management Officer</w:t>
      </w:r>
    </w:p>
    <w:p w14:paraId="35575448" w14:textId="77777777" w:rsidR="00C366D2" w:rsidRPr="00C366D2" w:rsidRDefault="00C366D2" w:rsidP="00C366D2">
      <w:pPr>
        <w:tabs>
          <w:tab w:val="left" w:pos="851"/>
        </w:tabs>
        <w:rPr>
          <w:sz w:val="20"/>
          <w:szCs w:val="20"/>
          <w:lang w:bidi="ar-SA"/>
        </w:rPr>
      </w:pPr>
      <w:r w:rsidRPr="00C366D2">
        <w:rPr>
          <w:sz w:val="20"/>
          <w:szCs w:val="20"/>
          <w:lang w:bidi="ar-SA"/>
        </w:rPr>
        <w:t>Delegate of the Board of Food Standards Australia New Zealand</w:t>
      </w:r>
    </w:p>
    <w:p w14:paraId="724930D6" w14:textId="77777777" w:rsidR="00C366D2" w:rsidRPr="00C366D2" w:rsidRDefault="00C366D2" w:rsidP="00C366D2">
      <w:pPr>
        <w:tabs>
          <w:tab w:val="left" w:pos="851"/>
        </w:tabs>
        <w:rPr>
          <w:sz w:val="20"/>
          <w:szCs w:val="20"/>
          <w:lang w:bidi="ar-SA"/>
        </w:rPr>
      </w:pPr>
    </w:p>
    <w:p w14:paraId="7CE3640B" w14:textId="77777777" w:rsidR="00C366D2" w:rsidRPr="00C366D2" w:rsidRDefault="00C366D2" w:rsidP="00C366D2">
      <w:pPr>
        <w:tabs>
          <w:tab w:val="left" w:pos="851"/>
        </w:tabs>
        <w:rPr>
          <w:sz w:val="20"/>
          <w:szCs w:val="20"/>
          <w:lang w:bidi="ar-SA"/>
        </w:rPr>
      </w:pPr>
    </w:p>
    <w:p w14:paraId="3A820630" w14:textId="77777777" w:rsidR="00C366D2" w:rsidRPr="00C366D2" w:rsidRDefault="00C366D2" w:rsidP="00C366D2">
      <w:pPr>
        <w:tabs>
          <w:tab w:val="left" w:pos="851"/>
        </w:tabs>
        <w:rPr>
          <w:sz w:val="20"/>
          <w:szCs w:val="20"/>
          <w:lang w:bidi="ar-SA"/>
        </w:rPr>
      </w:pPr>
    </w:p>
    <w:p w14:paraId="29343395" w14:textId="77777777" w:rsidR="00C366D2" w:rsidRPr="00C366D2" w:rsidRDefault="00C366D2" w:rsidP="00C366D2">
      <w:pPr>
        <w:tabs>
          <w:tab w:val="left" w:pos="851"/>
        </w:tabs>
        <w:rPr>
          <w:sz w:val="20"/>
          <w:szCs w:val="20"/>
          <w:lang w:bidi="ar-SA"/>
        </w:rPr>
      </w:pPr>
    </w:p>
    <w:p w14:paraId="52ABB44B" w14:textId="77777777" w:rsidR="00C366D2" w:rsidRPr="00C366D2" w:rsidRDefault="00C366D2" w:rsidP="00C366D2">
      <w:pPr>
        <w:tabs>
          <w:tab w:val="left" w:pos="851"/>
        </w:tabs>
        <w:rPr>
          <w:sz w:val="20"/>
          <w:szCs w:val="20"/>
          <w:lang w:bidi="ar-SA"/>
        </w:rPr>
      </w:pPr>
    </w:p>
    <w:p w14:paraId="203080EF" w14:textId="77777777" w:rsidR="00C366D2" w:rsidRPr="00C366D2" w:rsidRDefault="00C366D2" w:rsidP="00C366D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C366D2">
        <w:rPr>
          <w:b/>
          <w:sz w:val="20"/>
          <w:szCs w:val="20"/>
          <w:lang w:val="en-AU" w:bidi="ar-SA"/>
        </w:rPr>
        <w:t xml:space="preserve">Note:  </w:t>
      </w:r>
    </w:p>
    <w:p w14:paraId="7FCF0293" w14:textId="77777777" w:rsidR="00C366D2" w:rsidRPr="00C366D2" w:rsidRDefault="00C366D2" w:rsidP="00C366D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3A2B29E" w14:textId="77777777" w:rsidR="00C366D2" w:rsidRPr="00C366D2" w:rsidRDefault="00C366D2" w:rsidP="00C366D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C366D2">
        <w:rPr>
          <w:sz w:val="20"/>
          <w:szCs w:val="20"/>
          <w:lang w:val="en-AU" w:bidi="ar-SA"/>
        </w:rPr>
        <w:t xml:space="preserve">This variation will be published in the Commonwealth of Australia Gazette No. FSC </w:t>
      </w:r>
      <w:r w:rsidRPr="00C366D2">
        <w:rPr>
          <w:color w:val="FF0000"/>
          <w:sz w:val="20"/>
          <w:szCs w:val="20"/>
          <w:lang w:val="en-AU" w:bidi="ar-SA"/>
        </w:rPr>
        <w:t>XX on XX Month 20XX</w:t>
      </w:r>
      <w:r w:rsidRPr="00C366D2">
        <w:rPr>
          <w:sz w:val="20"/>
          <w:szCs w:val="20"/>
          <w:lang w:val="en-AU" w:bidi="ar-SA"/>
        </w:rPr>
        <w:t xml:space="preserve">. This means that this date is the gazettal date for the purposes of clause 3 of the variation. </w:t>
      </w:r>
    </w:p>
    <w:p w14:paraId="53AB42EB" w14:textId="77777777" w:rsidR="00C366D2" w:rsidRPr="00C366D2" w:rsidRDefault="00C366D2" w:rsidP="00C366D2">
      <w:pPr>
        <w:tabs>
          <w:tab w:val="left" w:pos="851"/>
        </w:tabs>
        <w:rPr>
          <w:sz w:val="20"/>
          <w:szCs w:val="20"/>
          <w:lang w:bidi="ar-SA"/>
        </w:rPr>
      </w:pPr>
    </w:p>
    <w:p w14:paraId="6C33244F" w14:textId="77777777" w:rsidR="00C366D2" w:rsidRPr="00C366D2" w:rsidRDefault="00C366D2" w:rsidP="00C366D2">
      <w:pPr>
        <w:widowControl/>
        <w:rPr>
          <w:sz w:val="20"/>
          <w:szCs w:val="20"/>
          <w:lang w:bidi="ar-SA"/>
        </w:rPr>
      </w:pPr>
      <w:r w:rsidRPr="00C366D2">
        <w:rPr>
          <w:sz w:val="20"/>
          <w:szCs w:val="20"/>
          <w:lang w:bidi="ar-SA"/>
        </w:rPr>
        <w:br w:type="page"/>
      </w:r>
    </w:p>
    <w:p w14:paraId="0104DCF8" w14:textId="77777777" w:rsidR="00C366D2" w:rsidRPr="00C366D2" w:rsidRDefault="00C366D2" w:rsidP="00C366D2">
      <w:pPr>
        <w:tabs>
          <w:tab w:val="left" w:pos="851"/>
        </w:tabs>
        <w:rPr>
          <w:b/>
          <w:sz w:val="20"/>
          <w:szCs w:val="20"/>
          <w:lang w:bidi="ar-SA"/>
        </w:rPr>
      </w:pPr>
      <w:r w:rsidRPr="00C366D2">
        <w:rPr>
          <w:b/>
          <w:sz w:val="20"/>
          <w:szCs w:val="20"/>
          <w:lang w:bidi="ar-SA"/>
        </w:rPr>
        <w:lastRenderedPageBreak/>
        <w:t>1</w:t>
      </w:r>
      <w:r w:rsidRPr="00C366D2">
        <w:rPr>
          <w:b/>
          <w:sz w:val="20"/>
          <w:szCs w:val="20"/>
          <w:lang w:bidi="ar-SA"/>
        </w:rPr>
        <w:tab/>
        <w:t>Name</w:t>
      </w:r>
    </w:p>
    <w:p w14:paraId="329DC9B8" w14:textId="77777777" w:rsidR="00C366D2" w:rsidRPr="00C366D2" w:rsidRDefault="00C366D2" w:rsidP="00C366D2">
      <w:pPr>
        <w:tabs>
          <w:tab w:val="left" w:pos="1134"/>
        </w:tabs>
        <w:spacing w:before="120" w:after="120"/>
        <w:rPr>
          <w:rFonts w:cs="Arial"/>
          <w:iCs/>
          <w:sz w:val="20"/>
          <w:szCs w:val="22"/>
          <w:lang w:eastAsia="en-AU" w:bidi="ar-SA"/>
        </w:rPr>
      </w:pPr>
      <w:r w:rsidRPr="00C366D2">
        <w:rPr>
          <w:rFonts w:cs="Arial"/>
          <w:iCs/>
          <w:sz w:val="20"/>
          <w:szCs w:val="22"/>
          <w:lang w:eastAsia="en-AU" w:bidi="ar-SA"/>
        </w:rPr>
        <w:t xml:space="preserve">This instrument is the </w:t>
      </w:r>
      <w:r w:rsidRPr="00C366D2">
        <w:rPr>
          <w:rFonts w:cs="Arial"/>
          <w:i/>
          <w:iCs/>
          <w:sz w:val="20"/>
          <w:szCs w:val="22"/>
          <w:lang w:eastAsia="en-AU" w:bidi="ar-SA"/>
        </w:rPr>
        <w:t>Food Standards (Proposal P1039 – Microbiological Criteria for Infant Formula) Variation</w:t>
      </w:r>
      <w:r w:rsidRPr="00C366D2">
        <w:rPr>
          <w:rFonts w:cs="Arial"/>
          <w:iCs/>
          <w:sz w:val="20"/>
          <w:szCs w:val="22"/>
          <w:lang w:eastAsia="en-AU" w:bidi="ar-SA"/>
        </w:rPr>
        <w:t>.</w:t>
      </w:r>
    </w:p>
    <w:p w14:paraId="6A507773" w14:textId="77777777" w:rsidR="00C366D2" w:rsidRPr="00C366D2" w:rsidRDefault="00C366D2" w:rsidP="00C366D2">
      <w:pPr>
        <w:tabs>
          <w:tab w:val="left" w:pos="851"/>
        </w:tabs>
        <w:rPr>
          <w:b/>
          <w:sz w:val="20"/>
          <w:szCs w:val="20"/>
          <w:lang w:bidi="ar-SA"/>
        </w:rPr>
      </w:pPr>
      <w:r w:rsidRPr="00C366D2">
        <w:rPr>
          <w:b/>
          <w:sz w:val="20"/>
          <w:szCs w:val="20"/>
          <w:lang w:bidi="ar-SA"/>
        </w:rPr>
        <w:t>2</w:t>
      </w:r>
      <w:r w:rsidRPr="00C366D2">
        <w:rPr>
          <w:b/>
          <w:sz w:val="20"/>
          <w:szCs w:val="20"/>
          <w:lang w:bidi="ar-SA"/>
        </w:rPr>
        <w:tab/>
        <w:t xml:space="preserve">Variation to a Standard in the </w:t>
      </w:r>
      <w:r w:rsidRPr="00C366D2">
        <w:rPr>
          <w:b/>
          <w:i/>
          <w:sz w:val="20"/>
          <w:szCs w:val="20"/>
          <w:lang w:bidi="ar-SA"/>
        </w:rPr>
        <w:t>Australia New Zealand Food Standards Code</w:t>
      </w:r>
    </w:p>
    <w:p w14:paraId="2C0379CA" w14:textId="77777777" w:rsidR="00C366D2" w:rsidRPr="00C366D2" w:rsidRDefault="00C366D2" w:rsidP="00C366D2">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 xml:space="preserve">The Schedule varies Standards in the </w:t>
      </w:r>
      <w:r w:rsidRPr="00C366D2">
        <w:rPr>
          <w:rFonts w:cs="Arial"/>
          <w:i/>
          <w:iCs/>
          <w:sz w:val="20"/>
          <w:szCs w:val="22"/>
          <w:lang w:eastAsia="en-AU" w:bidi="ar-SA"/>
        </w:rPr>
        <w:t>Australia New Zealand Food Standards Code</w:t>
      </w:r>
      <w:r w:rsidRPr="00C366D2">
        <w:rPr>
          <w:rFonts w:cs="Arial"/>
          <w:iCs/>
          <w:sz w:val="20"/>
          <w:szCs w:val="22"/>
          <w:lang w:eastAsia="en-AU" w:bidi="ar-SA"/>
        </w:rPr>
        <w:t>.</w:t>
      </w:r>
    </w:p>
    <w:p w14:paraId="1C64180C" w14:textId="77777777" w:rsidR="00C366D2" w:rsidRPr="00C366D2" w:rsidRDefault="00C366D2" w:rsidP="00C366D2">
      <w:pPr>
        <w:tabs>
          <w:tab w:val="left" w:pos="851"/>
        </w:tabs>
        <w:rPr>
          <w:b/>
          <w:sz w:val="20"/>
          <w:szCs w:val="20"/>
          <w:lang w:bidi="ar-SA"/>
        </w:rPr>
      </w:pPr>
      <w:r w:rsidRPr="00C366D2">
        <w:rPr>
          <w:b/>
          <w:sz w:val="20"/>
          <w:szCs w:val="20"/>
          <w:lang w:bidi="ar-SA"/>
        </w:rPr>
        <w:t>3</w:t>
      </w:r>
      <w:r w:rsidRPr="00C366D2">
        <w:rPr>
          <w:b/>
          <w:sz w:val="20"/>
          <w:szCs w:val="20"/>
          <w:lang w:bidi="ar-SA"/>
        </w:rPr>
        <w:tab/>
        <w:t>Commencement</w:t>
      </w:r>
    </w:p>
    <w:p w14:paraId="46FB39C8" w14:textId="77777777" w:rsidR="00C366D2" w:rsidRPr="00C366D2" w:rsidRDefault="00C366D2" w:rsidP="00C366D2">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The variation commences on the date of gazettal.</w:t>
      </w:r>
    </w:p>
    <w:p w14:paraId="2EE49B0E" w14:textId="77777777" w:rsidR="00C366D2" w:rsidRPr="00C366D2" w:rsidRDefault="00C366D2" w:rsidP="00C366D2">
      <w:pPr>
        <w:tabs>
          <w:tab w:val="left" w:pos="851"/>
        </w:tabs>
        <w:rPr>
          <w:b/>
          <w:sz w:val="20"/>
          <w:szCs w:val="20"/>
          <w:lang w:bidi="ar-SA"/>
        </w:rPr>
      </w:pPr>
      <w:r w:rsidRPr="00C366D2">
        <w:rPr>
          <w:b/>
          <w:sz w:val="20"/>
          <w:szCs w:val="20"/>
          <w:lang w:bidi="ar-SA"/>
        </w:rPr>
        <w:t>4</w:t>
      </w:r>
      <w:r w:rsidRPr="00C366D2">
        <w:rPr>
          <w:b/>
          <w:sz w:val="20"/>
          <w:szCs w:val="20"/>
          <w:lang w:bidi="ar-SA"/>
        </w:rPr>
        <w:tab/>
        <w:t>Effect of the variations to the Code</w:t>
      </w:r>
    </w:p>
    <w:p w14:paraId="131D230F" w14:textId="77777777" w:rsidR="00C366D2" w:rsidRPr="00C366D2" w:rsidRDefault="00C366D2" w:rsidP="00C366D2">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Section 1.1.1—9 of the Code</w:t>
      </w:r>
      <w:r w:rsidRPr="00C366D2">
        <w:rPr>
          <w:rFonts w:cs="Arial"/>
          <w:i/>
          <w:iCs/>
          <w:sz w:val="20"/>
          <w:szCs w:val="22"/>
          <w:lang w:eastAsia="en-AU" w:bidi="ar-SA"/>
        </w:rPr>
        <w:t xml:space="preserve"> </w:t>
      </w:r>
      <w:r w:rsidRPr="00C366D2">
        <w:rPr>
          <w:rFonts w:cs="Arial"/>
          <w:iCs/>
          <w:sz w:val="20"/>
          <w:szCs w:val="22"/>
          <w:lang w:eastAsia="en-AU" w:bidi="ar-SA"/>
        </w:rPr>
        <w:t>does not apply to the variations made by this instrument.</w:t>
      </w:r>
    </w:p>
    <w:p w14:paraId="48F9DE01" w14:textId="77777777" w:rsidR="00C366D2" w:rsidRPr="00C366D2" w:rsidRDefault="00C366D2" w:rsidP="00C366D2">
      <w:pPr>
        <w:tabs>
          <w:tab w:val="left" w:pos="1134"/>
        </w:tabs>
        <w:spacing w:before="120" w:after="120"/>
        <w:ind w:left="1701" w:hanging="1701"/>
        <w:rPr>
          <w:rFonts w:cs="Arial"/>
          <w:b/>
          <w:iCs/>
          <w:sz w:val="20"/>
          <w:szCs w:val="22"/>
          <w:lang w:eastAsia="en-AU" w:bidi="ar-SA"/>
        </w:rPr>
      </w:pPr>
    </w:p>
    <w:p w14:paraId="34C699B1" w14:textId="77777777" w:rsidR="00C366D2" w:rsidRPr="00C366D2" w:rsidRDefault="00C366D2" w:rsidP="00C366D2">
      <w:pPr>
        <w:tabs>
          <w:tab w:val="left" w:pos="851"/>
        </w:tabs>
        <w:jc w:val="center"/>
        <w:rPr>
          <w:b/>
          <w:sz w:val="20"/>
          <w:szCs w:val="20"/>
          <w:lang w:bidi="ar-SA"/>
        </w:rPr>
      </w:pPr>
      <w:r w:rsidRPr="00C366D2">
        <w:rPr>
          <w:b/>
          <w:sz w:val="20"/>
          <w:szCs w:val="20"/>
          <w:lang w:bidi="ar-SA"/>
        </w:rPr>
        <w:t>Schedule</w:t>
      </w:r>
    </w:p>
    <w:p w14:paraId="4202E029" w14:textId="77777777" w:rsidR="00C366D2" w:rsidRPr="00C366D2" w:rsidRDefault="00C366D2" w:rsidP="00C366D2">
      <w:pPr>
        <w:widowControl/>
        <w:rPr>
          <w:sz w:val="20"/>
          <w:szCs w:val="20"/>
          <w:lang w:bidi="ar-SA"/>
        </w:rPr>
      </w:pPr>
    </w:p>
    <w:p w14:paraId="035E5BF7" w14:textId="69ECEEC9" w:rsidR="00C366D2" w:rsidRPr="00C366D2" w:rsidRDefault="00C366D2" w:rsidP="00C366D2">
      <w:pPr>
        <w:tabs>
          <w:tab w:val="left" w:pos="1134"/>
        </w:tabs>
        <w:spacing w:before="120" w:after="120"/>
        <w:rPr>
          <w:rFonts w:cs="Arial"/>
          <w:iCs/>
          <w:sz w:val="20"/>
          <w:szCs w:val="22"/>
          <w:lang w:eastAsia="en-AU" w:bidi="ar-SA"/>
        </w:rPr>
      </w:pPr>
      <w:r w:rsidRPr="00C366D2">
        <w:rPr>
          <w:rFonts w:cs="Arial"/>
          <w:b/>
          <w:iCs/>
          <w:sz w:val="20"/>
          <w:szCs w:val="22"/>
          <w:lang w:eastAsia="en-AU"/>
        </w:rPr>
        <w:t>[1]</w:t>
      </w:r>
      <w:r w:rsidRPr="00C366D2">
        <w:rPr>
          <w:rFonts w:cs="Arial"/>
          <w:b/>
          <w:iCs/>
          <w:sz w:val="20"/>
          <w:szCs w:val="22"/>
          <w:lang w:eastAsia="en-AU"/>
        </w:rPr>
        <w:tab/>
        <w:t xml:space="preserve">Standard 1.1.1 </w:t>
      </w:r>
      <w:r w:rsidRPr="00C366D2">
        <w:rPr>
          <w:rFonts w:cs="Arial"/>
          <w:iCs/>
          <w:sz w:val="20"/>
          <w:szCs w:val="22"/>
          <w:lang w:eastAsia="en-AU"/>
        </w:rPr>
        <w:t xml:space="preserve">is varied by </w:t>
      </w:r>
      <w:r w:rsidRPr="00C366D2">
        <w:rPr>
          <w:rFonts w:cs="Arial"/>
          <w:iCs/>
          <w:sz w:val="20"/>
          <w:szCs w:val="22"/>
          <w:lang w:eastAsia="en-AU" w:bidi="ar-SA"/>
        </w:rPr>
        <w:t xml:space="preserve">omitting </w:t>
      </w:r>
      <w:r w:rsidR="006852A9">
        <w:rPr>
          <w:rFonts w:cs="Arial"/>
          <w:iCs/>
          <w:sz w:val="20"/>
          <w:szCs w:val="22"/>
          <w:lang w:eastAsia="en-AU" w:bidi="ar-SA"/>
        </w:rPr>
        <w:t>from subsection 1.1.1</w:t>
      </w:r>
      <w:r w:rsidR="006852A9" w:rsidRPr="00C366D2">
        <w:rPr>
          <w:rFonts w:cs="Arial"/>
          <w:iCs/>
          <w:sz w:val="20"/>
          <w:szCs w:val="22"/>
          <w:lang w:eastAsia="en-AU"/>
        </w:rPr>
        <w:t>—</w:t>
      </w:r>
      <w:r w:rsidR="006852A9">
        <w:rPr>
          <w:rFonts w:cs="Arial"/>
          <w:iCs/>
          <w:sz w:val="20"/>
          <w:szCs w:val="22"/>
          <w:lang w:eastAsia="en-AU" w:bidi="ar-SA"/>
        </w:rPr>
        <w:t xml:space="preserve">2(2) </w:t>
      </w:r>
      <w:r w:rsidRPr="00C366D2">
        <w:rPr>
          <w:rFonts w:cs="Arial"/>
          <w:iCs/>
          <w:sz w:val="20"/>
          <w:szCs w:val="22"/>
          <w:lang w:eastAsia="en-AU" w:bidi="ar-SA"/>
        </w:rPr>
        <w:t>the words “Standard 1.6.1</w:t>
      </w:r>
      <w:r w:rsidRPr="00C366D2">
        <w:rPr>
          <w:rFonts w:cs="Arial"/>
          <w:iCs/>
          <w:sz w:val="20"/>
          <w:szCs w:val="22"/>
          <w:lang w:eastAsia="en-AU" w:bidi="ar-SA"/>
        </w:rPr>
        <w:tab/>
        <w:t>Microbiological limits in food”, substituting “Standard 1.6.1</w:t>
      </w:r>
      <w:r w:rsidR="0037182C">
        <w:rPr>
          <w:rFonts w:cs="Arial"/>
          <w:iCs/>
          <w:sz w:val="20"/>
          <w:szCs w:val="22"/>
          <w:lang w:eastAsia="en-AU" w:bidi="ar-SA"/>
        </w:rPr>
        <w:t xml:space="preserve"> </w:t>
      </w:r>
      <w:r w:rsidRPr="00C366D2">
        <w:rPr>
          <w:rFonts w:cs="Arial"/>
          <w:iCs/>
          <w:sz w:val="20"/>
          <w:szCs w:val="22"/>
          <w:lang w:eastAsia="en-AU" w:bidi="ar-SA"/>
        </w:rPr>
        <w:t>Food safety microbiological criteria”</w:t>
      </w:r>
      <w:r w:rsidR="006852A9">
        <w:rPr>
          <w:rFonts w:cs="Arial"/>
          <w:iCs/>
          <w:sz w:val="20"/>
          <w:szCs w:val="22"/>
          <w:lang w:eastAsia="en-AU" w:bidi="ar-SA"/>
        </w:rPr>
        <w:t>.</w:t>
      </w:r>
    </w:p>
    <w:p w14:paraId="10F46C88" w14:textId="4C5BBC43" w:rsidR="00C366D2" w:rsidRPr="00C366D2" w:rsidRDefault="00C366D2" w:rsidP="00C366D2">
      <w:pPr>
        <w:tabs>
          <w:tab w:val="left" w:pos="1134"/>
        </w:tabs>
        <w:spacing w:before="120" w:after="120"/>
        <w:rPr>
          <w:rFonts w:cs="Arial"/>
          <w:iCs/>
          <w:sz w:val="20"/>
          <w:szCs w:val="22"/>
          <w:lang w:eastAsia="en-AU"/>
        </w:rPr>
      </w:pPr>
      <w:r w:rsidRPr="00C366D2">
        <w:rPr>
          <w:rFonts w:cs="Arial"/>
          <w:b/>
          <w:iCs/>
          <w:sz w:val="20"/>
          <w:szCs w:val="22"/>
          <w:lang w:eastAsia="en-AU"/>
        </w:rPr>
        <w:t>[2]</w:t>
      </w:r>
      <w:r w:rsidRPr="00C366D2">
        <w:rPr>
          <w:rFonts w:cs="Arial"/>
          <w:b/>
          <w:iCs/>
          <w:sz w:val="20"/>
          <w:szCs w:val="22"/>
          <w:lang w:eastAsia="en-AU"/>
        </w:rPr>
        <w:tab/>
        <w:t xml:space="preserve">Standard 1.1.2 </w:t>
      </w:r>
      <w:r w:rsidRPr="00C366D2">
        <w:rPr>
          <w:rFonts w:cs="Arial"/>
          <w:iCs/>
          <w:sz w:val="20"/>
          <w:szCs w:val="22"/>
          <w:lang w:eastAsia="en-AU"/>
        </w:rPr>
        <w:t>is varied by</w:t>
      </w:r>
      <w:r w:rsidR="008C61BF">
        <w:rPr>
          <w:rFonts w:cs="Arial"/>
          <w:iCs/>
          <w:sz w:val="20"/>
          <w:szCs w:val="22"/>
          <w:lang w:eastAsia="en-AU"/>
        </w:rPr>
        <w:t xml:space="preserve"> </w:t>
      </w:r>
      <w:r w:rsidRPr="00C366D2">
        <w:rPr>
          <w:rFonts w:cs="Arial"/>
          <w:iCs/>
          <w:sz w:val="20"/>
          <w:szCs w:val="22"/>
          <w:lang w:eastAsia="en-AU"/>
        </w:rPr>
        <w:t xml:space="preserve">omitting the definition of </w:t>
      </w:r>
      <w:r w:rsidRPr="00C366D2">
        <w:rPr>
          <w:rFonts w:cs="Arial"/>
          <w:b/>
          <w:i/>
          <w:iCs/>
          <w:sz w:val="20"/>
          <w:szCs w:val="22"/>
          <w:lang w:eastAsia="en-AU"/>
        </w:rPr>
        <w:t xml:space="preserve">SPC </w:t>
      </w:r>
      <w:r w:rsidRPr="00C366D2">
        <w:rPr>
          <w:rFonts w:cs="Arial"/>
          <w:iCs/>
          <w:sz w:val="20"/>
          <w:szCs w:val="22"/>
          <w:lang w:eastAsia="en-AU"/>
        </w:rPr>
        <w:t>from s</w:t>
      </w:r>
      <w:r w:rsidR="006852A9">
        <w:rPr>
          <w:rFonts w:cs="Arial"/>
          <w:iCs/>
          <w:sz w:val="20"/>
          <w:szCs w:val="22"/>
          <w:lang w:eastAsia="en-AU"/>
        </w:rPr>
        <w:t>ubs</w:t>
      </w:r>
      <w:r w:rsidRPr="00C366D2">
        <w:rPr>
          <w:rFonts w:cs="Arial"/>
          <w:iCs/>
          <w:sz w:val="20"/>
          <w:szCs w:val="22"/>
          <w:lang w:eastAsia="en-AU"/>
        </w:rPr>
        <w:t>ection 1.1.2—2</w:t>
      </w:r>
      <w:r w:rsidR="006852A9">
        <w:rPr>
          <w:rFonts w:cs="Arial"/>
          <w:iCs/>
          <w:sz w:val="20"/>
          <w:szCs w:val="22"/>
          <w:lang w:eastAsia="en-AU"/>
        </w:rPr>
        <w:t>(3)</w:t>
      </w:r>
      <w:r w:rsidRPr="00C366D2">
        <w:rPr>
          <w:rFonts w:cs="Arial"/>
          <w:iCs/>
          <w:sz w:val="20"/>
          <w:szCs w:val="22"/>
          <w:lang w:eastAsia="en-AU"/>
        </w:rPr>
        <w:t>, substituting</w:t>
      </w:r>
    </w:p>
    <w:p w14:paraId="0BF45DC6" w14:textId="29F5440E" w:rsidR="00C366D2" w:rsidRPr="00C366D2" w:rsidRDefault="006852A9" w:rsidP="00C366D2">
      <w:pPr>
        <w:tabs>
          <w:tab w:val="left" w:pos="1134"/>
        </w:tabs>
        <w:spacing w:before="120" w:after="120"/>
        <w:ind w:left="1701"/>
        <w:rPr>
          <w:rFonts w:cs="Arial"/>
          <w:iCs/>
          <w:sz w:val="20"/>
          <w:szCs w:val="22"/>
          <w:lang w:eastAsia="en-AU" w:bidi="ar-SA"/>
        </w:rPr>
      </w:pPr>
      <w:r w:rsidRPr="009A7206">
        <w:rPr>
          <w:rFonts w:cs="Arial"/>
          <w:iCs/>
          <w:sz w:val="20"/>
          <w:szCs w:val="22"/>
          <w:lang w:eastAsia="en-AU" w:bidi="ar-SA"/>
        </w:rPr>
        <w:t>“</w:t>
      </w:r>
      <w:r w:rsidR="00C366D2" w:rsidRPr="00C366D2">
        <w:rPr>
          <w:rFonts w:cs="Arial"/>
          <w:b/>
          <w:i/>
          <w:iCs/>
          <w:sz w:val="20"/>
          <w:szCs w:val="22"/>
          <w:lang w:eastAsia="en-AU" w:bidi="ar-SA"/>
        </w:rPr>
        <w:t>SPC</w:t>
      </w:r>
      <w:r w:rsidR="00C366D2" w:rsidRPr="00C366D2">
        <w:rPr>
          <w:rFonts w:cs="Arial"/>
          <w:iCs/>
          <w:sz w:val="20"/>
          <w:szCs w:val="22"/>
          <w:lang w:eastAsia="en-AU" w:bidi="ar-SA"/>
        </w:rPr>
        <w:t xml:space="preserve"> means a standard plate count at 30</w:t>
      </w:r>
      <w:r w:rsidR="00C366D2" w:rsidRPr="00C366D2">
        <w:rPr>
          <w:rFonts w:cs="Arial"/>
          <w:iCs/>
          <w:sz w:val="20"/>
          <w:szCs w:val="22"/>
          <w:lang w:eastAsia="en-AU" w:bidi="ar-SA"/>
        </w:rPr>
        <w:sym w:font="Symbol" w:char="F0B0"/>
      </w:r>
      <w:r w:rsidR="00C366D2" w:rsidRPr="00C366D2">
        <w:rPr>
          <w:rFonts w:cs="Arial"/>
          <w:iCs/>
          <w:sz w:val="20"/>
          <w:szCs w:val="22"/>
          <w:lang w:eastAsia="en-AU" w:bidi="ar-SA"/>
        </w:rPr>
        <w:t>C with an incubation time of 72 hours.</w:t>
      </w:r>
      <w:r>
        <w:rPr>
          <w:rFonts w:cs="Arial"/>
          <w:iCs/>
          <w:sz w:val="20"/>
          <w:szCs w:val="22"/>
          <w:lang w:eastAsia="en-AU" w:bidi="ar-SA"/>
        </w:rPr>
        <w:t>”</w:t>
      </w:r>
    </w:p>
    <w:p w14:paraId="38BE2988" w14:textId="44549F60" w:rsidR="00C366D2" w:rsidRPr="00C366D2" w:rsidRDefault="00C366D2" w:rsidP="00C366D2">
      <w:pPr>
        <w:tabs>
          <w:tab w:val="left" w:pos="1134"/>
        </w:tabs>
        <w:spacing w:before="120" w:after="120"/>
        <w:rPr>
          <w:rFonts w:cs="Arial"/>
          <w:iCs/>
          <w:sz w:val="20"/>
          <w:szCs w:val="22"/>
          <w:lang w:eastAsia="en-AU" w:bidi="ar-SA"/>
        </w:rPr>
      </w:pPr>
      <w:r w:rsidRPr="00C366D2">
        <w:rPr>
          <w:rFonts w:cs="Arial"/>
          <w:b/>
          <w:iCs/>
          <w:sz w:val="20"/>
          <w:szCs w:val="22"/>
          <w:lang w:eastAsia="en-AU"/>
        </w:rPr>
        <w:t>[3]</w:t>
      </w:r>
      <w:r w:rsidRPr="00C366D2">
        <w:rPr>
          <w:rFonts w:cs="Arial"/>
          <w:b/>
          <w:iCs/>
          <w:sz w:val="20"/>
          <w:szCs w:val="22"/>
          <w:lang w:eastAsia="en-AU"/>
        </w:rPr>
        <w:tab/>
        <w:t xml:space="preserve">Standard 1.6.1 </w:t>
      </w:r>
      <w:r w:rsidRPr="00C366D2">
        <w:rPr>
          <w:rFonts w:cs="Arial"/>
          <w:iCs/>
          <w:sz w:val="20"/>
          <w:szCs w:val="22"/>
          <w:lang w:eastAsia="en-AU"/>
        </w:rPr>
        <w:t>is varied by</w:t>
      </w:r>
      <w:r w:rsidRPr="00C366D2">
        <w:rPr>
          <w:rFonts w:cs="Arial"/>
          <w:iCs/>
          <w:sz w:val="20"/>
          <w:szCs w:val="22"/>
          <w:lang w:eastAsia="en-AU" w:bidi="ar-SA"/>
        </w:rPr>
        <w:t xml:space="preserve"> omitting the words “Microbiological limits in food” from the title of the Standard, substituting “Food safety microbiological criteria”</w:t>
      </w:r>
      <w:r w:rsidR="006852A9">
        <w:rPr>
          <w:rFonts w:cs="Arial"/>
          <w:iCs/>
          <w:sz w:val="20"/>
          <w:szCs w:val="22"/>
          <w:lang w:eastAsia="en-AU" w:bidi="ar-SA"/>
        </w:rPr>
        <w:t>.</w:t>
      </w:r>
    </w:p>
    <w:p w14:paraId="724C0D83" w14:textId="77777777" w:rsidR="00C366D2" w:rsidRPr="00C366D2" w:rsidRDefault="00C366D2" w:rsidP="00C366D2">
      <w:pPr>
        <w:tabs>
          <w:tab w:val="left" w:pos="1134"/>
        </w:tabs>
        <w:spacing w:before="120" w:after="120"/>
        <w:ind w:left="1701" w:hanging="1701"/>
        <w:rPr>
          <w:rFonts w:cs="Arial"/>
          <w:iCs/>
          <w:sz w:val="20"/>
          <w:szCs w:val="22"/>
          <w:lang w:eastAsia="en-AU" w:bidi="ar-SA"/>
        </w:rPr>
      </w:pPr>
      <w:r w:rsidRPr="00C366D2">
        <w:rPr>
          <w:rFonts w:cs="Arial"/>
          <w:b/>
          <w:iCs/>
          <w:sz w:val="20"/>
          <w:szCs w:val="22"/>
          <w:lang w:eastAsia="en-AU"/>
        </w:rPr>
        <w:t>[4]</w:t>
      </w:r>
      <w:r w:rsidRPr="00C366D2">
        <w:rPr>
          <w:rFonts w:cs="Arial"/>
          <w:b/>
          <w:iCs/>
          <w:sz w:val="20"/>
          <w:szCs w:val="22"/>
          <w:lang w:eastAsia="en-AU"/>
        </w:rPr>
        <w:tab/>
        <w:t xml:space="preserve">Schedule 27 </w:t>
      </w:r>
      <w:r w:rsidRPr="00C366D2">
        <w:rPr>
          <w:rFonts w:cs="Arial"/>
          <w:iCs/>
          <w:sz w:val="20"/>
          <w:szCs w:val="22"/>
          <w:lang w:eastAsia="en-AU"/>
        </w:rPr>
        <w:t>is varied by</w:t>
      </w:r>
      <w:r w:rsidRPr="00C366D2">
        <w:rPr>
          <w:rFonts w:cs="Arial"/>
          <w:iCs/>
          <w:sz w:val="20"/>
          <w:szCs w:val="22"/>
          <w:lang w:eastAsia="en-AU" w:bidi="ar-SA"/>
        </w:rPr>
        <w:t xml:space="preserve"> </w:t>
      </w:r>
    </w:p>
    <w:p w14:paraId="6AAF42E3" w14:textId="77777777" w:rsidR="00C366D2" w:rsidRPr="00C366D2" w:rsidRDefault="00C366D2" w:rsidP="00C366D2">
      <w:pPr>
        <w:tabs>
          <w:tab w:val="left" w:pos="1134"/>
        </w:tabs>
        <w:spacing w:before="120" w:after="120"/>
        <w:ind w:left="1701" w:hanging="1701"/>
        <w:rPr>
          <w:rFonts w:cs="Arial"/>
          <w:iCs/>
          <w:sz w:val="20"/>
          <w:szCs w:val="22"/>
          <w:lang w:eastAsia="en-AU"/>
        </w:rPr>
      </w:pPr>
      <w:r w:rsidRPr="00C366D2">
        <w:rPr>
          <w:rFonts w:cs="Arial"/>
          <w:iCs/>
          <w:sz w:val="20"/>
          <w:szCs w:val="22"/>
          <w:lang w:eastAsia="en-AU"/>
        </w:rPr>
        <w:t>[4.1]</w:t>
      </w:r>
      <w:r w:rsidRPr="00C366D2">
        <w:rPr>
          <w:rFonts w:cs="Arial"/>
          <w:iCs/>
          <w:sz w:val="20"/>
          <w:szCs w:val="22"/>
          <w:lang w:eastAsia="en-AU"/>
        </w:rPr>
        <w:tab/>
        <w:t xml:space="preserve">omitting the note to section S27—2, substituting </w:t>
      </w:r>
    </w:p>
    <w:p w14:paraId="60A5F8AC" w14:textId="77777777" w:rsidR="00C366D2" w:rsidRPr="00C366D2" w:rsidRDefault="00C366D2" w:rsidP="00C366D2">
      <w:pPr>
        <w:tabs>
          <w:tab w:val="left" w:pos="1134"/>
        </w:tabs>
        <w:spacing w:before="120" w:after="120"/>
        <w:ind w:left="851" w:hanging="851"/>
        <w:rPr>
          <w:rFonts w:cs="Arial"/>
          <w:iCs/>
          <w:sz w:val="16"/>
          <w:szCs w:val="22"/>
          <w:lang w:eastAsia="en-AU" w:bidi="ar-SA"/>
        </w:rPr>
      </w:pPr>
      <w:r w:rsidRPr="00C366D2">
        <w:rPr>
          <w:rFonts w:cs="Arial"/>
          <w:b/>
          <w:i/>
          <w:iCs/>
          <w:sz w:val="16"/>
          <w:szCs w:val="22"/>
          <w:lang w:eastAsia="en-AU" w:bidi="ar-SA"/>
        </w:rPr>
        <w:t>“Note</w:t>
      </w:r>
      <w:r w:rsidRPr="00C366D2">
        <w:rPr>
          <w:rFonts w:cs="Arial"/>
          <w:iCs/>
          <w:sz w:val="16"/>
          <w:szCs w:val="22"/>
          <w:lang w:eastAsia="en-AU" w:bidi="ar-SA"/>
        </w:rPr>
        <w:tab/>
        <w:t>In this Code (see section 1.1.2—2):</w:t>
      </w:r>
    </w:p>
    <w:p w14:paraId="5A41C223" w14:textId="77777777" w:rsidR="00C366D2" w:rsidRPr="00C366D2" w:rsidRDefault="00C366D2" w:rsidP="00C366D2">
      <w:pPr>
        <w:tabs>
          <w:tab w:val="left" w:pos="1701"/>
        </w:tabs>
        <w:spacing w:before="60" w:after="60"/>
        <w:ind w:left="2268" w:hanging="2268"/>
        <w:rPr>
          <w:rFonts w:cs="Arial"/>
          <w:b/>
          <w:i/>
          <w:sz w:val="16"/>
          <w:szCs w:val="18"/>
          <w:lang w:eastAsia="en-AU" w:bidi="ar-SA"/>
        </w:rPr>
      </w:pPr>
      <w:r w:rsidRPr="00C366D2">
        <w:rPr>
          <w:rFonts w:cs="Arial"/>
          <w:sz w:val="16"/>
          <w:szCs w:val="18"/>
          <w:lang w:eastAsia="en-AU" w:bidi="ar-SA"/>
        </w:rPr>
        <w:tab/>
      </w:r>
      <w:r w:rsidRPr="00C366D2">
        <w:rPr>
          <w:rFonts w:cs="Arial"/>
          <w:b/>
          <w:i/>
          <w:sz w:val="16"/>
          <w:szCs w:val="18"/>
          <w:lang w:eastAsia="en-AU" w:bidi="ar-SA"/>
        </w:rPr>
        <w:t>SPC</w:t>
      </w:r>
      <w:r w:rsidRPr="00C366D2">
        <w:rPr>
          <w:rFonts w:cs="Arial"/>
          <w:sz w:val="16"/>
          <w:szCs w:val="18"/>
          <w:lang w:eastAsia="en-AU" w:bidi="ar-SA"/>
        </w:rPr>
        <w:t xml:space="preserve"> means a standard plate count at 30</w:t>
      </w:r>
      <w:r w:rsidRPr="00C366D2">
        <w:rPr>
          <w:rFonts w:cs="Arial"/>
          <w:sz w:val="16"/>
          <w:szCs w:val="18"/>
          <w:lang w:eastAsia="en-AU" w:bidi="ar-SA"/>
        </w:rPr>
        <w:sym w:font="Symbol" w:char="F0B0"/>
      </w:r>
      <w:r w:rsidRPr="00C366D2">
        <w:rPr>
          <w:rFonts w:cs="Arial"/>
          <w:sz w:val="16"/>
          <w:szCs w:val="18"/>
          <w:lang w:eastAsia="en-AU" w:bidi="ar-SA"/>
        </w:rPr>
        <w:t>C with an incubation time of 72 hours.”</w:t>
      </w:r>
    </w:p>
    <w:p w14:paraId="27C1A8E2" w14:textId="77777777" w:rsidR="00C366D2" w:rsidRPr="00C366D2" w:rsidRDefault="00C366D2" w:rsidP="00C366D2">
      <w:pPr>
        <w:tabs>
          <w:tab w:val="left" w:pos="1134"/>
        </w:tabs>
        <w:spacing w:before="120" w:after="120"/>
        <w:ind w:left="1701" w:hanging="1701"/>
        <w:rPr>
          <w:rFonts w:cs="Arial"/>
          <w:iCs/>
          <w:sz w:val="20"/>
          <w:szCs w:val="22"/>
          <w:lang w:eastAsia="en-AU"/>
        </w:rPr>
      </w:pPr>
      <w:r w:rsidRPr="00C366D2">
        <w:rPr>
          <w:rFonts w:cs="Arial"/>
          <w:iCs/>
          <w:sz w:val="20"/>
          <w:szCs w:val="22"/>
          <w:lang w:eastAsia="en-AU"/>
        </w:rPr>
        <w:t>[4.2]</w:t>
      </w:r>
      <w:r w:rsidRPr="00C366D2">
        <w:rPr>
          <w:rFonts w:cs="Arial"/>
          <w:iCs/>
          <w:sz w:val="20"/>
          <w:szCs w:val="22"/>
          <w:lang w:eastAsia="en-AU"/>
        </w:rPr>
        <w:tab/>
        <w:t>omitting section S27—3, substituting</w:t>
      </w:r>
    </w:p>
    <w:p w14:paraId="4B78BCB8" w14:textId="77777777" w:rsidR="00C366D2" w:rsidRPr="00C366D2" w:rsidRDefault="00C366D2" w:rsidP="00C366D2">
      <w:pPr>
        <w:tabs>
          <w:tab w:val="left" w:pos="1701"/>
        </w:tabs>
        <w:spacing w:before="120" w:after="120"/>
        <w:ind w:left="1701" w:hanging="1701"/>
        <w:rPr>
          <w:rFonts w:cs="Arial"/>
          <w:b/>
          <w:iCs/>
          <w:sz w:val="20"/>
          <w:szCs w:val="22"/>
          <w:lang w:eastAsia="en-AU"/>
        </w:rPr>
      </w:pPr>
      <w:r w:rsidRPr="00C366D2">
        <w:rPr>
          <w:rFonts w:cs="Arial"/>
          <w:iCs/>
          <w:sz w:val="20"/>
          <w:szCs w:val="22"/>
          <w:lang w:eastAsia="en-AU" w:bidi="ar-SA"/>
        </w:rPr>
        <w:t>“</w:t>
      </w:r>
      <w:r w:rsidRPr="00C366D2">
        <w:rPr>
          <w:rFonts w:cs="Arial"/>
          <w:b/>
          <w:iCs/>
          <w:sz w:val="20"/>
          <w:szCs w:val="22"/>
          <w:lang w:eastAsia="en-AU" w:bidi="ar-SA"/>
        </w:rPr>
        <w:t>S27—3</w:t>
      </w:r>
      <w:r w:rsidRPr="00C366D2">
        <w:rPr>
          <w:rFonts w:cs="Arial"/>
          <w:b/>
          <w:iCs/>
          <w:sz w:val="20"/>
          <w:szCs w:val="22"/>
          <w:lang w:eastAsia="en-AU" w:bidi="ar-SA"/>
        </w:rPr>
        <w:tab/>
        <w:t>Omitted</w:t>
      </w:r>
      <w:r w:rsidRPr="00C366D2">
        <w:rPr>
          <w:rFonts w:cs="Arial"/>
          <w:iCs/>
          <w:sz w:val="20"/>
          <w:szCs w:val="22"/>
          <w:lang w:eastAsia="en-AU" w:bidi="ar-SA"/>
        </w:rPr>
        <w:t>”</w:t>
      </w:r>
    </w:p>
    <w:p w14:paraId="71ECB7C8" w14:textId="77777777" w:rsidR="00C366D2" w:rsidRPr="00C366D2" w:rsidRDefault="00C366D2" w:rsidP="00C366D2">
      <w:pPr>
        <w:tabs>
          <w:tab w:val="left" w:pos="1134"/>
        </w:tabs>
        <w:spacing w:before="120" w:after="120"/>
        <w:rPr>
          <w:rFonts w:cs="Arial"/>
          <w:iCs/>
          <w:sz w:val="20"/>
          <w:szCs w:val="22"/>
          <w:lang w:eastAsia="en-AU" w:bidi="ar-SA"/>
        </w:rPr>
      </w:pPr>
      <w:r w:rsidRPr="00C366D2">
        <w:rPr>
          <w:rFonts w:cs="Arial"/>
          <w:iCs/>
          <w:sz w:val="20"/>
          <w:szCs w:val="22"/>
          <w:lang w:eastAsia="en-AU" w:bidi="ar-SA"/>
        </w:rPr>
        <w:t>[4.3]</w:t>
      </w:r>
      <w:r w:rsidRPr="00C366D2">
        <w:rPr>
          <w:rFonts w:cs="Arial"/>
          <w:iCs/>
          <w:sz w:val="20"/>
          <w:szCs w:val="22"/>
          <w:lang w:eastAsia="en-AU" w:bidi="ar-SA"/>
        </w:rPr>
        <w:tab/>
        <w:t>omitting the following from the table to section S27—4</w:t>
      </w:r>
    </w:p>
    <w:p w14:paraId="215364CD" w14:textId="77777777" w:rsidR="00C366D2" w:rsidRPr="00C366D2" w:rsidRDefault="00C366D2" w:rsidP="00C366D2">
      <w:pPr>
        <w:tabs>
          <w:tab w:val="left" w:pos="1134"/>
        </w:tabs>
        <w:spacing w:before="120" w:after="120"/>
        <w:ind w:left="1701" w:hanging="1701"/>
        <w:rPr>
          <w:rFonts w:cs="Arial"/>
          <w:iCs/>
          <w:sz w:val="20"/>
          <w:szCs w:val="22"/>
          <w:lang w:eastAsia="en-AU" w:bidi="ar-SA"/>
        </w:rPr>
      </w:pPr>
      <w:r w:rsidRPr="00C366D2">
        <w:rPr>
          <w:rFonts w:cs="Arial"/>
          <w:iCs/>
          <w:sz w:val="20"/>
          <w:szCs w:val="22"/>
          <w:lang w:eastAsia="en-AU" w:bidi="ar-SA"/>
        </w:rPr>
        <w:t>“</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C366D2" w:rsidRPr="00C366D2" w14:paraId="44C48C54" w14:textId="77777777" w:rsidTr="00C366D2">
        <w:trPr>
          <w:cantSplit/>
          <w:jc w:val="center"/>
        </w:trPr>
        <w:tc>
          <w:tcPr>
            <w:tcW w:w="9072" w:type="dxa"/>
            <w:gridSpan w:val="5"/>
          </w:tcPr>
          <w:p w14:paraId="174ECABE" w14:textId="77777777" w:rsidR="00C366D2" w:rsidRPr="00C366D2" w:rsidRDefault="00C366D2" w:rsidP="00C366D2">
            <w:pPr>
              <w:keepNext/>
              <w:keepLines/>
              <w:widowControl/>
              <w:spacing w:before="60" w:after="60"/>
              <w:rPr>
                <w:rFonts w:cs="Arial"/>
                <w:b/>
                <w:i/>
                <w:sz w:val="18"/>
                <w:szCs w:val="22"/>
                <w:lang w:eastAsia="en-AU" w:bidi="ar-SA"/>
              </w:rPr>
            </w:pPr>
            <w:r w:rsidRPr="00C366D2">
              <w:rPr>
                <w:rFonts w:cs="Arial"/>
                <w:b/>
                <w:sz w:val="18"/>
                <w:szCs w:val="22"/>
                <w:lang w:eastAsia="en-AU" w:bidi="ar-SA"/>
              </w:rPr>
              <w:t>Powdered infant formula products</w:t>
            </w:r>
          </w:p>
        </w:tc>
      </w:tr>
      <w:tr w:rsidR="00C366D2" w:rsidRPr="00C366D2" w14:paraId="2DF32E45" w14:textId="77777777" w:rsidTr="00C366D2">
        <w:trPr>
          <w:cantSplit/>
          <w:jc w:val="center"/>
        </w:trPr>
        <w:tc>
          <w:tcPr>
            <w:tcW w:w="1954" w:type="dxa"/>
          </w:tcPr>
          <w:p w14:paraId="434839EC"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i/>
                <w:sz w:val="18"/>
                <w:szCs w:val="20"/>
                <w:lang w:eastAsia="en-AU" w:bidi="ar-SA"/>
              </w:rPr>
              <w:t>Bacillus cereus</w:t>
            </w:r>
          </w:p>
        </w:tc>
        <w:tc>
          <w:tcPr>
            <w:tcW w:w="1733" w:type="dxa"/>
          </w:tcPr>
          <w:p w14:paraId="44E2F08B"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5132EE38"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29E9BF80"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2"/>
                <w:lang w:eastAsia="en-AU" w:bidi="ar-SA"/>
              </w:rPr>
              <w:t>10</w:t>
            </w:r>
            <w:r w:rsidRPr="00C366D2">
              <w:rPr>
                <w:rFonts w:cs="Arial"/>
                <w:sz w:val="18"/>
                <w:szCs w:val="22"/>
                <w:vertAlign w:val="superscript"/>
                <w:lang w:eastAsia="en-AU" w:bidi="ar-SA"/>
              </w:rPr>
              <w:t>2</w:t>
            </w:r>
            <w:r w:rsidRPr="00C366D2">
              <w:rPr>
                <w:rFonts w:cs="Arial"/>
                <w:sz w:val="18"/>
                <w:szCs w:val="22"/>
                <w:lang w:eastAsia="en-AU" w:bidi="ar-SA"/>
              </w:rPr>
              <w:t>/g</w:t>
            </w:r>
          </w:p>
        </w:tc>
        <w:tc>
          <w:tcPr>
            <w:tcW w:w="1700" w:type="dxa"/>
          </w:tcPr>
          <w:p w14:paraId="07644D39" w14:textId="77777777" w:rsidR="00C366D2" w:rsidRPr="00C366D2" w:rsidRDefault="00C366D2" w:rsidP="00C366D2">
            <w:pPr>
              <w:keepLines/>
              <w:widowControl/>
              <w:tabs>
                <w:tab w:val="right" w:pos="3969"/>
              </w:tabs>
              <w:spacing w:before="60" w:after="60"/>
              <w:rPr>
                <w:rFonts w:cs="Arial"/>
                <w:sz w:val="18"/>
                <w:szCs w:val="20"/>
                <w:lang w:eastAsia="en-AU" w:bidi="ar-SA"/>
              </w:rPr>
            </w:pPr>
          </w:p>
        </w:tc>
      </w:tr>
      <w:tr w:rsidR="00C366D2" w:rsidRPr="00C366D2" w14:paraId="2E2F4975" w14:textId="77777777" w:rsidTr="00C366D2">
        <w:trPr>
          <w:cantSplit/>
          <w:jc w:val="center"/>
        </w:trPr>
        <w:tc>
          <w:tcPr>
            <w:tcW w:w="1954" w:type="dxa"/>
          </w:tcPr>
          <w:p w14:paraId="6542C722"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Coagulase-positive staphylococci</w:t>
            </w:r>
          </w:p>
        </w:tc>
        <w:tc>
          <w:tcPr>
            <w:tcW w:w="1733" w:type="dxa"/>
          </w:tcPr>
          <w:p w14:paraId="4DDE5AC9"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664DBF63"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w:t>
            </w:r>
          </w:p>
        </w:tc>
        <w:tc>
          <w:tcPr>
            <w:tcW w:w="2091" w:type="dxa"/>
          </w:tcPr>
          <w:p w14:paraId="4FB42828"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2"/>
                <w:lang w:eastAsia="en-AU" w:bidi="ar-SA"/>
              </w:rPr>
              <w:t>not detected in 1 g</w:t>
            </w:r>
          </w:p>
        </w:tc>
        <w:tc>
          <w:tcPr>
            <w:tcW w:w="1700" w:type="dxa"/>
          </w:tcPr>
          <w:p w14:paraId="4D7575A6"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10/g</w:t>
            </w:r>
          </w:p>
        </w:tc>
      </w:tr>
      <w:tr w:rsidR="00C366D2" w:rsidRPr="00C366D2" w14:paraId="19323C5D" w14:textId="77777777" w:rsidTr="00C366D2">
        <w:trPr>
          <w:cantSplit/>
          <w:jc w:val="center"/>
        </w:trPr>
        <w:tc>
          <w:tcPr>
            <w:tcW w:w="1954" w:type="dxa"/>
          </w:tcPr>
          <w:p w14:paraId="6721D369"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Coliforms</w:t>
            </w:r>
          </w:p>
        </w:tc>
        <w:tc>
          <w:tcPr>
            <w:tcW w:w="1733" w:type="dxa"/>
          </w:tcPr>
          <w:p w14:paraId="17B84F0B"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14BD220E"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2</w:t>
            </w:r>
          </w:p>
        </w:tc>
        <w:tc>
          <w:tcPr>
            <w:tcW w:w="2091" w:type="dxa"/>
          </w:tcPr>
          <w:p w14:paraId="36D02A62"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less than 3/g</w:t>
            </w:r>
          </w:p>
        </w:tc>
        <w:tc>
          <w:tcPr>
            <w:tcW w:w="1700" w:type="dxa"/>
          </w:tcPr>
          <w:p w14:paraId="6AF6CD63"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10/g</w:t>
            </w:r>
          </w:p>
        </w:tc>
      </w:tr>
      <w:tr w:rsidR="00C366D2" w:rsidRPr="00C366D2" w14:paraId="3A0E4CC0" w14:textId="77777777" w:rsidTr="00C366D2">
        <w:trPr>
          <w:cantSplit/>
          <w:jc w:val="center"/>
        </w:trPr>
        <w:tc>
          <w:tcPr>
            <w:tcW w:w="1954" w:type="dxa"/>
          </w:tcPr>
          <w:p w14:paraId="374276C1"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i/>
                <w:sz w:val="18"/>
                <w:szCs w:val="20"/>
                <w:lang w:eastAsia="en-AU" w:bidi="ar-SA"/>
              </w:rPr>
              <w:t>Salmonella</w:t>
            </w:r>
          </w:p>
        </w:tc>
        <w:tc>
          <w:tcPr>
            <w:tcW w:w="1733" w:type="dxa"/>
          </w:tcPr>
          <w:p w14:paraId="0BD2A215"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w:t>
            </w:r>
          </w:p>
        </w:tc>
        <w:tc>
          <w:tcPr>
            <w:tcW w:w="1594" w:type="dxa"/>
          </w:tcPr>
          <w:p w14:paraId="2AA0BC8C"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736E142F"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not detected in 25 g</w:t>
            </w:r>
          </w:p>
        </w:tc>
        <w:tc>
          <w:tcPr>
            <w:tcW w:w="1700" w:type="dxa"/>
          </w:tcPr>
          <w:p w14:paraId="61093A4B" w14:textId="77777777" w:rsidR="00C366D2" w:rsidRPr="00C366D2" w:rsidRDefault="00C366D2" w:rsidP="00C366D2">
            <w:pPr>
              <w:keepLines/>
              <w:widowControl/>
              <w:tabs>
                <w:tab w:val="right" w:pos="3969"/>
              </w:tabs>
              <w:spacing w:before="60" w:after="60"/>
              <w:rPr>
                <w:rFonts w:cs="Arial"/>
                <w:sz w:val="18"/>
                <w:szCs w:val="20"/>
                <w:lang w:eastAsia="en-AU" w:bidi="ar-SA"/>
              </w:rPr>
            </w:pPr>
          </w:p>
        </w:tc>
      </w:tr>
      <w:tr w:rsidR="00C366D2" w:rsidRPr="00C366D2" w14:paraId="139A34EB" w14:textId="77777777" w:rsidTr="00C366D2">
        <w:trPr>
          <w:cantSplit/>
          <w:jc w:val="center"/>
        </w:trPr>
        <w:tc>
          <w:tcPr>
            <w:tcW w:w="1954" w:type="dxa"/>
          </w:tcPr>
          <w:p w14:paraId="51A3451B"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SPC</w:t>
            </w:r>
          </w:p>
        </w:tc>
        <w:tc>
          <w:tcPr>
            <w:tcW w:w="1733" w:type="dxa"/>
          </w:tcPr>
          <w:p w14:paraId="7F9EF119"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5</w:t>
            </w:r>
          </w:p>
        </w:tc>
        <w:tc>
          <w:tcPr>
            <w:tcW w:w="1594" w:type="dxa"/>
          </w:tcPr>
          <w:p w14:paraId="0F94598D"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2</w:t>
            </w:r>
          </w:p>
        </w:tc>
        <w:tc>
          <w:tcPr>
            <w:tcW w:w="2091" w:type="dxa"/>
          </w:tcPr>
          <w:p w14:paraId="493C274D"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2"/>
                <w:lang w:eastAsia="en-AU" w:bidi="ar-SA"/>
              </w:rPr>
              <w:t>10</w:t>
            </w:r>
            <w:r w:rsidRPr="00C366D2">
              <w:rPr>
                <w:rFonts w:cs="Times"/>
                <w:position w:val="6"/>
                <w:sz w:val="18"/>
                <w:szCs w:val="22"/>
                <w:vertAlign w:val="superscript"/>
                <w:lang w:eastAsia="en-AU" w:bidi="ar-SA"/>
              </w:rPr>
              <w:t>3</w:t>
            </w:r>
            <w:r w:rsidRPr="00C366D2">
              <w:rPr>
                <w:rFonts w:cs="Arial"/>
                <w:sz w:val="18"/>
                <w:szCs w:val="22"/>
                <w:lang w:eastAsia="en-AU" w:bidi="ar-SA"/>
              </w:rPr>
              <w:t>/g</w:t>
            </w:r>
          </w:p>
        </w:tc>
        <w:tc>
          <w:tcPr>
            <w:tcW w:w="1700" w:type="dxa"/>
          </w:tcPr>
          <w:p w14:paraId="23BC8DD7"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10</w:t>
            </w:r>
            <w:r w:rsidRPr="00C366D2">
              <w:rPr>
                <w:rFonts w:cs="Times"/>
                <w:position w:val="6"/>
                <w:sz w:val="18"/>
                <w:szCs w:val="20"/>
                <w:vertAlign w:val="superscript"/>
                <w:lang w:eastAsia="en-AU" w:bidi="ar-SA"/>
              </w:rPr>
              <w:t>4</w:t>
            </w:r>
            <w:r w:rsidRPr="00C366D2">
              <w:rPr>
                <w:rFonts w:cs="Arial"/>
                <w:sz w:val="18"/>
                <w:szCs w:val="20"/>
                <w:lang w:eastAsia="en-AU" w:bidi="ar-SA"/>
              </w:rPr>
              <w:t>/g</w:t>
            </w:r>
          </w:p>
        </w:tc>
      </w:tr>
    </w:tbl>
    <w:p w14:paraId="1DECDD9C" w14:textId="77777777" w:rsidR="00C366D2" w:rsidRPr="00C366D2" w:rsidRDefault="00C366D2" w:rsidP="00C366D2">
      <w:pPr>
        <w:tabs>
          <w:tab w:val="left" w:pos="1134"/>
        </w:tabs>
        <w:spacing w:before="120" w:after="120"/>
        <w:jc w:val="right"/>
        <w:rPr>
          <w:rFonts w:cs="Arial"/>
          <w:iCs/>
          <w:sz w:val="20"/>
          <w:szCs w:val="22"/>
          <w:lang w:eastAsia="en-AU" w:bidi="ar-SA"/>
        </w:rPr>
      </w:pPr>
      <w:r w:rsidRPr="00C366D2">
        <w:rPr>
          <w:rFonts w:cs="Arial"/>
          <w:iCs/>
          <w:sz w:val="20"/>
          <w:szCs w:val="22"/>
          <w:lang w:eastAsia="en-AU" w:bidi="ar-SA"/>
        </w:rPr>
        <w:t>”</w:t>
      </w:r>
    </w:p>
    <w:p w14:paraId="22FE7307" w14:textId="77777777" w:rsidR="00C366D2" w:rsidRPr="00C366D2" w:rsidRDefault="00C366D2" w:rsidP="00C366D2">
      <w:pPr>
        <w:tabs>
          <w:tab w:val="left" w:pos="1134"/>
        </w:tabs>
        <w:spacing w:before="120" w:after="120"/>
        <w:rPr>
          <w:rFonts w:cs="Arial"/>
          <w:iCs/>
          <w:sz w:val="20"/>
          <w:szCs w:val="22"/>
          <w:lang w:eastAsia="en-AU" w:bidi="ar-SA"/>
        </w:rPr>
      </w:pPr>
      <w:r w:rsidRPr="00C366D2">
        <w:rPr>
          <w:rFonts w:cs="Arial"/>
          <w:iCs/>
          <w:sz w:val="20"/>
          <w:szCs w:val="22"/>
          <w:lang w:eastAsia="en-AU" w:bidi="ar-SA"/>
        </w:rPr>
        <w:t xml:space="preserve">substituting </w:t>
      </w:r>
    </w:p>
    <w:p w14:paraId="168FA6B7" w14:textId="77777777" w:rsidR="00C366D2" w:rsidRPr="00C366D2" w:rsidRDefault="00C366D2" w:rsidP="00C366D2">
      <w:pPr>
        <w:tabs>
          <w:tab w:val="left" w:pos="1134"/>
        </w:tabs>
        <w:spacing w:before="120" w:after="120"/>
        <w:rPr>
          <w:rFonts w:cs="Arial"/>
          <w:iCs/>
          <w:sz w:val="20"/>
          <w:szCs w:val="22"/>
          <w:lang w:eastAsia="en-AU" w:bidi="ar-SA"/>
        </w:rPr>
      </w:pPr>
      <w:r w:rsidRPr="00C366D2">
        <w:rPr>
          <w:rFonts w:cs="Arial"/>
          <w:iCs/>
          <w:sz w:val="20"/>
          <w:szCs w:val="22"/>
          <w:lang w:eastAsia="en-AU" w:bidi="ar-SA"/>
        </w:rPr>
        <w:t>“</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C366D2" w:rsidRPr="00C366D2" w14:paraId="0F48388E" w14:textId="77777777" w:rsidTr="00C366D2">
        <w:trPr>
          <w:cantSplit/>
          <w:jc w:val="center"/>
        </w:trPr>
        <w:tc>
          <w:tcPr>
            <w:tcW w:w="9072" w:type="dxa"/>
            <w:gridSpan w:val="5"/>
          </w:tcPr>
          <w:p w14:paraId="1FFB85C9" w14:textId="77777777" w:rsidR="00C366D2" w:rsidRPr="00C366D2" w:rsidRDefault="00C366D2" w:rsidP="00C366D2">
            <w:pPr>
              <w:keepNext/>
              <w:keepLines/>
              <w:widowControl/>
              <w:spacing w:before="60" w:after="60"/>
              <w:rPr>
                <w:rFonts w:cs="Arial"/>
                <w:b/>
                <w:i/>
                <w:sz w:val="18"/>
                <w:szCs w:val="22"/>
                <w:lang w:eastAsia="en-AU" w:bidi="ar-SA"/>
              </w:rPr>
            </w:pPr>
            <w:r w:rsidRPr="00C366D2">
              <w:rPr>
                <w:rFonts w:cs="Arial"/>
                <w:b/>
                <w:sz w:val="18"/>
                <w:szCs w:val="22"/>
                <w:lang w:eastAsia="en-AU" w:bidi="ar-SA"/>
              </w:rPr>
              <w:t>Powdered infant formula*</w:t>
            </w:r>
          </w:p>
        </w:tc>
      </w:tr>
      <w:tr w:rsidR="00C366D2" w:rsidRPr="00C366D2" w14:paraId="05779B21" w14:textId="77777777" w:rsidTr="00C366D2">
        <w:trPr>
          <w:cantSplit/>
          <w:jc w:val="center"/>
        </w:trPr>
        <w:tc>
          <w:tcPr>
            <w:tcW w:w="1954" w:type="dxa"/>
          </w:tcPr>
          <w:p w14:paraId="60AE4C77" w14:textId="77777777" w:rsidR="00C366D2" w:rsidRPr="00C366D2" w:rsidRDefault="00C366D2" w:rsidP="00C366D2">
            <w:pPr>
              <w:keepLines/>
              <w:widowControl/>
              <w:tabs>
                <w:tab w:val="right" w:pos="3969"/>
              </w:tabs>
              <w:spacing w:before="60" w:after="60"/>
              <w:rPr>
                <w:rFonts w:cs="Arial"/>
                <w:i/>
                <w:sz w:val="18"/>
                <w:szCs w:val="20"/>
                <w:lang w:eastAsia="en-AU" w:bidi="ar-SA"/>
              </w:rPr>
            </w:pPr>
            <w:r w:rsidRPr="00C366D2">
              <w:rPr>
                <w:rFonts w:cs="Arial"/>
                <w:i/>
                <w:sz w:val="18"/>
                <w:szCs w:val="20"/>
                <w:lang w:eastAsia="en-AU" w:bidi="ar-SA"/>
              </w:rPr>
              <w:t>Cronobacter</w:t>
            </w:r>
          </w:p>
        </w:tc>
        <w:tc>
          <w:tcPr>
            <w:tcW w:w="1733" w:type="dxa"/>
          </w:tcPr>
          <w:p w14:paraId="19B869DE"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30</w:t>
            </w:r>
          </w:p>
        </w:tc>
        <w:tc>
          <w:tcPr>
            <w:tcW w:w="1594" w:type="dxa"/>
          </w:tcPr>
          <w:p w14:paraId="52C22E0F"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7E6DC911"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not detected in 10g</w:t>
            </w:r>
          </w:p>
        </w:tc>
        <w:tc>
          <w:tcPr>
            <w:tcW w:w="1700" w:type="dxa"/>
          </w:tcPr>
          <w:p w14:paraId="54C7864A" w14:textId="77777777" w:rsidR="00C366D2" w:rsidRPr="00C366D2" w:rsidRDefault="00C366D2" w:rsidP="00C366D2">
            <w:pPr>
              <w:keepLines/>
              <w:widowControl/>
              <w:tabs>
                <w:tab w:val="right" w:pos="3969"/>
              </w:tabs>
              <w:spacing w:before="60" w:after="60"/>
              <w:rPr>
                <w:rFonts w:cs="Arial"/>
                <w:sz w:val="18"/>
                <w:szCs w:val="20"/>
                <w:lang w:eastAsia="en-AU" w:bidi="ar-SA"/>
              </w:rPr>
            </w:pPr>
          </w:p>
        </w:tc>
      </w:tr>
      <w:tr w:rsidR="00C366D2" w:rsidRPr="00C366D2" w14:paraId="33B0D0E6" w14:textId="77777777" w:rsidTr="00C366D2">
        <w:trPr>
          <w:cantSplit/>
          <w:jc w:val="center"/>
        </w:trPr>
        <w:tc>
          <w:tcPr>
            <w:tcW w:w="1954" w:type="dxa"/>
          </w:tcPr>
          <w:p w14:paraId="5886F716"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i/>
                <w:sz w:val="18"/>
                <w:szCs w:val="20"/>
                <w:lang w:eastAsia="en-AU" w:bidi="ar-SA"/>
              </w:rPr>
              <w:t>Salmonella</w:t>
            </w:r>
          </w:p>
        </w:tc>
        <w:tc>
          <w:tcPr>
            <w:tcW w:w="1733" w:type="dxa"/>
          </w:tcPr>
          <w:p w14:paraId="4CC1E660"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60</w:t>
            </w:r>
          </w:p>
        </w:tc>
        <w:tc>
          <w:tcPr>
            <w:tcW w:w="1594" w:type="dxa"/>
          </w:tcPr>
          <w:p w14:paraId="45AFD37B"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0</w:t>
            </w:r>
          </w:p>
        </w:tc>
        <w:tc>
          <w:tcPr>
            <w:tcW w:w="2091" w:type="dxa"/>
          </w:tcPr>
          <w:p w14:paraId="0550F106" w14:textId="77777777" w:rsidR="00C366D2" w:rsidRPr="00C366D2" w:rsidRDefault="00C366D2" w:rsidP="00C366D2">
            <w:pPr>
              <w:keepLines/>
              <w:widowControl/>
              <w:tabs>
                <w:tab w:val="right" w:pos="3969"/>
              </w:tabs>
              <w:spacing w:before="60" w:after="60"/>
              <w:rPr>
                <w:rFonts w:cs="Arial"/>
                <w:sz w:val="18"/>
                <w:szCs w:val="20"/>
                <w:lang w:eastAsia="en-AU" w:bidi="ar-SA"/>
              </w:rPr>
            </w:pPr>
            <w:r w:rsidRPr="00C366D2">
              <w:rPr>
                <w:rFonts w:cs="Arial"/>
                <w:sz w:val="18"/>
                <w:szCs w:val="20"/>
                <w:lang w:eastAsia="en-AU" w:bidi="ar-SA"/>
              </w:rPr>
              <w:t>not detected in 25 g</w:t>
            </w:r>
          </w:p>
        </w:tc>
        <w:tc>
          <w:tcPr>
            <w:tcW w:w="1700" w:type="dxa"/>
          </w:tcPr>
          <w:p w14:paraId="0D3B36C5" w14:textId="77777777" w:rsidR="00C366D2" w:rsidRPr="00C366D2" w:rsidRDefault="00C366D2" w:rsidP="00C366D2">
            <w:pPr>
              <w:keepLines/>
              <w:widowControl/>
              <w:tabs>
                <w:tab w:val="right" w:pos="3969"/>
              </w:tabs>
              <w:spacing w:before="60" w:after="60"/>
              <w:rPr>
                <w:rFonts w:cs="Arial"/>
                <w:sz w:val="18"/>
                <w:szCs w:val="20"/>
                <w:lang w:eastAsia="en-AU" w:bidi="ar-SA"/>
              </w:rPr>
            </w:pPr>
          </w:p>
        </w:tc>
      </w:tr>
    </w:tbl>
    <w:tbl>
      <w:tblPr>
        <w:tblStyle w:val="TableGrid2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C366D2" w:rsidRPr="00C366D2" w14:paraId="5017987A" w14:textId="77777777" w:rsidTr="00C366D2">
        <w:trPr>
          <w:cantSplit/>
          <w:jc w:val="center"/>
        </w:trPr>
        <w:tc>
          <w:tcPr>
            <w:tcW w:w="9072" w:type="dxa"/>
            <w:gridSpan w:val="5"/>
          </w:tcPr>
          <w:p w14:paraId="214ADD46" w14:textId="77777777" w:rsidR="00C366D2" w:rsidRPr="00C366D2" w:rsidRDefault="00C366D2" w:rsidP="00C366D2">
            <w:pPr>
              <w:keepNext/>
              <w:keepLines/>
              <w:widowControl/>
              <w:spacing w:before="60" w:after="60"/>
              <w:rPr>
                <w:b/>
                <w:i/>
                <w:sz w:val="18"/>
                <w:szCs w:val="22"/>
                <w:lang w:eastAsia="en-AU" w:bidi="ar-SA"/>
              </w:rPr>
            </w:pPr>
            <w:r w:rsidRPr="00C366D2">
              <w:rPr>
                <w:b/>
                <w:sz w:val="18"/>
                <w:szCs w:val="22"/>
                <w:lang w:eastAsia="en-AU" w:bidi="ar-SA"/>
              </w:rPr>
              <w:lastRenderedPageBreak/>
              <w:t>Powdered follow-on formula*</w:t>
            </w:r>
          </w:p>
        </w:tc>
      </w:tr>
      <w:tr w:rsidR="00C366D2" w:rsidRPr="00C366D2" w14:paraId="6FC4AF11" w14:textId="77777777" w:rsidTr="00C366D2">
        <w:trPr>
          <w:cantSplit/>
          <w:jc w:val="center"/>
        </w:trPr>
        <w:tc>
          <w:tcPr>
            <w:tcW w:w="1954" w:type="dxa"/>
          </w:tcPr>
          <w:p w14:paraId="34415630" w14:textId="77777777" w:rsidR="00C366D2" w:rsidRPr="00C366D2" w:rsidRDefault="00C366D2" w:rsidP="00C366D2">
            <w:pPr>
              <w:keepLines/>
              <w:widowControl/>
              <w:tabs>
                <w:tab w:val="right" w:pos="3969"/>
              </w:tabs>
              <w:spacing w:before="60" w:after="60"/>
              <w:rPr>
                <w:sz w:val="18"/>
                <w:szCs w:val="20"/>
                <w:lang w:eastAsia="en-AU" w:bidi="ar-SA"/>
              </w:rPr>
            </w:pPr>
            <w:r w:rsidRPr="00C366D2">
              <w:rPr>
                <w:i/>
                <w:sz w:val="18"/>
                <w:szCs w:val="20"/>
                <w:lang w:eastAsia="en-AU" w:bidi="ar-SA"/>
              </w:rPr>
              <w:t>Salmonella</w:t>
            </w:r>
          </w:p>
        </w:tc>
        <w:tc>
          <w:tcPr>
            <w:tcW w:w="1733" w:type="dxa"/>
          </w:tcPr>
          <w:p w14:paraId="49944F6C" w14:textId="77777777" w:rsidR="00C366D2" w:rsidRPr="00C366D2" w:rsidRDefault="00C366D2" w:rsidP="00C366D2">
            <w:pPr>
              <w:keepLines/>
              <w:widowControl/>
              <w:tabs>
                <w:tab w:val="right" w:pos="3969"/>
              </w:tabs>
              <w:spacing w:before="60" w:after="60"/>
              <w:rPr>
                <w:sz w:val="18"/>
                <w:szCs w:val="20"/>
                <w:lang w:eastAsia="en-AU" w:bidi="ar-SA"/>
              </w:rPr>
            </w:pPr>
            <w:r w:rsidRPr="00C366D2">
              <w:rPr>
                <w:sz w:val="18"/>
                <w:szCs w:val="20"/>
                <w:lang w:eastAsia="en-AU" w:bidi="ar-SA"/>
              </w:rPr>
              <w:t>60</w:t>
            </w:r>
          </w:p>
        </w:tc>
        <w:tc>
          <w:tcPr>
            <w:tcW w:w="1594" w:type="dxa"/>
          </w:tcPr>
          <w:p w14:paraId="59B7AFDC" w14:textId="77777777" w:rsidR="00C366D2" w:rsidRPr="00C366D2" w:rsidRDefault="00C366D2" w:rsidP="00C366D2">
            <w:pPr>
              <w:keepLines/>
              <w:widowControl/>
              <w:tabs>
                <w:tab w:val="right" w:pos="3969"/>
              </w:tabs>
              <w:spacing w:before="60" w:after="60"/>
              <w:rPr>
                <w:sz w:val="18"/>
                <w:szCs w:val="20"/>
                <w:lang w:eastAsia="en-AU" w:bidi="ar-SA"/>
              </w:rPr>
            </w:pPr>
            <w:r w:rsidRPr="00C366D2">
              <w:rPr>
                <w:sz w:val="18"/>
                <w:szCs w:val="20"/>
                <w:lang w:eastAsia="en-AU" w:bidi="ar-SA"/>
              </w:rPr>
              <w:t>0</w:t>
            </w:r>
          </w:p>
        </w:tc>
        <w:tc>
          <w:tcPr>
            <w:tcW w:w="2091" w:type="dxa"/>
          </w:tcPr>
          <w:p w14:paraId="76E26BA7" w14:textId="77777777" w:rsidR="00C366D2" w:rsidRPr="00C366D2" w:rsidRDefault="00C366D2" w:rsidP="00C366D2">
            <w:pPr>
              <w:keepLines/>
              <w:widowControl/>
              <w:tabs>
                <w:tab w:val="right" w:pos="3969"/>
              </w:tabs>
              <w:spacing w:before="60" w:after="60"/>
              <w:rPr>
                <w:sz w:val="18"/>
                <w:szCs w:val="20"/>
                <w:lang w:eastAsia="en-AU" w:bidi="ar-SA"/>
              </w:rPr>
            </w:pPr>
            <w:r w:rsidRPr="00C366D2">
              <w:rPr>
                <w:sz w:val="18"/>
                <w:szCs w:val="20"/>
                <w:lang w:eastAsia="en-AU" w:bidi="ar-SA"/>
              </w:rPr>
              <w:t>not detected in 25 g</w:t>
            </w:r>
          </w:p>
        </w:tc>
        <w:tc>
          <w:tcPr>
            <w:tcW w:w="1700" w:type="dxa"/>
          </w:tcPr>
          <w:p w14:paraId="6748D29D" w14:textId="77777777" w:rsidR="00C366D2" w:rsidRPr="00C366D2" w:rsidRDefault="00C366D2" w:rsidP="00C366D2">
            <w:pPr>
              <w:keepLines/>
              <w:widowControl/>
              <w:tabs>
                <w:tab w:val="right" w:pos="3969"/>
              </w:tabs>
              <w:spacing w:before="60" w:after="60"/>
              <w:rPr>
                <w:sz w:val="18"/>
                <w:szCs w:val="20"/>
                <w:lang w:eastAsia="en-AU" w:bidi="ar-SA"/>
              </w:rPr>
            </w:pPr>
          </w:p>
        </w:tc>
      </w:tr>
    </w:tbl>
    <w:p w14:paraId="3DDC13EC" w14:textId="691F64DC" w:rsidR="00BF3DA7" w:rsidRPr="00C366D2" w:rsidRDefault="00BF3DA7" w:rsidP="009A7206">
      <w:pPr>
        <w:tabs>
          <w:tab w:val="left" w:pos="1134"/>
        </w:tabs>
        <w:spacing w:before="120" w:after="120"/>
        <w:jc w:val="right"/>
        <w:rPr>
          <w:rFonts w:cs="Arial"/>
          <w:iCs/>
          <w:sz w:val="20"/>
          <w:szCs w:val="22"/>
          <w:lang w:eastAsia="en-AU" w:bidi="ar-SA"/>
        </w:rPr>
      </w:pPr>
      <w:r>
        <w:rPr>
          <w:rFonts w:cs="Arial"/>
          <w:iCs/>
          <w:sz w:val="20"/>
          <w:szCs w:val="22"/>
          <w:lang w:eastAsia="en-AU" w:bidi="ar-SA"/>
        </w:rPr>
        <w:t>”</w:t>
      </w:r>
    </w:p>
    <w:p w14:paraId="7B1924AF" w14:textId="77777777" w:rsidR="00BF3DA7" w:rsidRDefault="00BF3DA7" w:rsidP="009A7206">
      <w:pPr>
        <w:rPr>
          <w:rFonts w:cs="Arial"/>
          <w:sz w:val="28"/>
          <w:szCs w:val="22"/>
          <w:lang w:bidi="ar-SA"/>
        </w:rPr>
      </w:pPr>
      <w:r>
        <w:br w:type="page"/>
      </w:r>
    </w:p>
    <w:p w14:paraId="3CB7878D" w14:textId="22E0ACE4" w:rsidR="00AF06FC" w:rsidRDefault="00B41294" w:rsidP="00AB0275">
      <w:pPr>
        <w:pStyle w:val="Heading2"/>
        <w:ind w:left="0" w:firstLine="0"/>
      </w:pPr>
      <w:bookmarkStart w:id="92" w:name="_Toc431997691"/>
      <w:r>
        <w:lastRenderedPageBreak/>
        <w:t xml:space="preserve">Attachment B – </w:t>
      </w:r>
      <w:r w:rsidR="00AF06FC">
        <w:t>Draft Explanatory Statement</w:t>
      </w:r>
      <w:bookmarkEnd w:id="81"/>
      <w:bookmarkEnd w:id="92"/>
    </w:p>
    <w:p w14:paraId="67D80888"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65CC4137" w14:textId="77777777" w:rsidR="00AF06FC" w:rsidRDefault="00AF06FC" w:rsidP="00AF06FC">
      <w:pPr>
        <w:rPr>
          <w:lang w:val="en-AU" w:eastAsia="en-GB" w:bidi="ar-SA"/>
        </w:rPr>
      </w:pPr>
    </w:p>
    <w:p w14:paraId="67EEC5D3"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E28309A" w14:textId="77777777" w:rsidR="00AF06FC" w:rsidRPr="00D13E34" w:rsidRDefault="00AF06FC" w:rsidP="00AF06FC">
      <w:pPr>
        <w:widowControl/>
        <w:autoSpaceDE w:val="0"/>
        <w:autoSpaceDN w:val="0"/>
        <w:adjustRightInd w:val="0"/>
        <w:rPr>
          <w:rFonts w:eastAsia="Calibri" w:cs="Arial"/>
          <w:bCs/>
          <w:szCs w:val="22"/>
          <w:lang w:val="en-AU" w:bidi="ar-SA"/>
        </w:rPr>
      </w:pPr>
    </w:p>
    <w:p w14:paraId="27847662" w14:textId="77777777" w:rsidR="00AF06FC" w:rsidRPr="0041193E" w:rsidRDefault="00AF06FC" w:rsidP="00AF06FC">
      <w:pPr>
        <w:widowControl/>
        <w:autoSpaceDE w:val="0"/>
        <w:autoSpaceDN w:val="0"/>
        <w:adjustRightInd w:val="0"/>
        <w:rPr>
          <w:rFonts w:eastAsia="Calibri" w:cs="Arial"/>
          <w:bCs/>
          <w:szCs w:val="22"/>
          <w:lang w:val="en-AU" w:bidi="ar-SA"/>
        </w:rPr>
      </w:pPr>
      <w:r w:rsidRPr="0041193E">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41193E">
        <w:rPr>
          <w:rFonts w:eastAsia="Calibri" w:cs="Arial"/>
          <w:bCs/>
          <w:szCs w:val="22"/>
          <w:lang w:val="en-AU" w:bidi="ar-SA"/>
        </w:rPr>
        <w:t xml:space="preserve">. </w:t>
      </w:r>
    </w:p>
    <w:p w14:paraId="1FBE47F9" w14:textId="77777777" w:rsidR="00AF06FC" w:rsidRPr="0041193E" w:rsidRDefault="00AF06FC" w:rsidP="00AF06FC">
      <w:pPr>
        <w:widowControl/>
        <w:autoSpaceDE w:val="0"/>
        <w:autoSpaceDN w:val="0"/>
        <w:adjustRightInd w:val="0"/>
        <w:rPr>
          <w:rFonts w:eastAsia="Calibri" w:cs="Arial"/>
          <w:bCs/>
          <w:szCs w:val="22"/>
          <w:lang w:val="en-AU" w:bidi="ar-SA"/>
        </w:rPr>
      </w:pPr>
    </w:p>
    <w:p w14:paraId="61DBE20A" w14:textId="510DAA09" w:rsidR="00AF06FC" w:rsidRPr="0041193E" w:rsidRDefault="00AF06FC" w:rsidP="00AF06FC">
      <w:pPr>
        <w:widowControl/>
        <w:autoSpaceDE w:val="0"/>
        <w:autoSpaceDN w:val="0"/>
        <w:adjustRightInd w:val="0"/>
        <w:rPr>
          <w:rFonts w:eastAsia="Calibri" w:cs="Arial"/>
          <w:bCs/>
          <w:szCs w:val="22"/>
          <w:lang w:val="en-AU" w:bidi="ar-SA"/>
        </w:rPr>
      </w:pPr>
      <w:r w:rsidRPr="0041193E">
        <w:rPr>
          <w:rFonts w:eastAsia="Calibri" w:cs="Arial"/>
          <w:bCs/>
          <w:szCs w:val="22"/>
          <w:lang w:val="en-AU" w:bidi="ar-SA"/>
        </w:rPr>
        <w:t xml:space="preserve">The Authority </w:t>
      </w:r>
      <w:r w:rsidR="00EC6B57">
        <w:rPr>
          <w:rFonts w:eastAsia="Calibri" w:cs="Arial"/>
          <w:bCs/>
          <w:szCs w:val="22"/>
          <w:lang w:val="en-AU" w:bidi="ar-SA"/>
        </w:rPr>
        <w:t xml:space="preserve">has </w:t>
      </w:r>
      <w:r w:rsidRPr="0041193E">
        <w:rPr>
          <w:rFonts w:eastAsia="Calibri" w:cs="Arial"/>
          <w:bCs/>
          <w:szCs w:val="22"/>
          <w:lang w:val="en-AU" w:bidi="ar-SA"/>
        </w:rPr>
        <w:t xml:space="preserve">considered the Proposal </w:t>
      </w:r>
      <w:r w:rsidR="00EC6B57" w:rsidRPr="0041193E">
        <w:rPr>
          <w:rFonts w:eastAsia="Calibri" w:cs="Arial"/>
          <w:bCs/>
          <w:szCs w:val="22"/>
          <w:lang w:val="en-AU" w:bidi="ar-SA"/>
        </w:rPr>
        <w:t>P1039</w:t>
      </w:r>
      <w:r w:rsidR="00EC6B57">
        <w:rPr>
          <w:rFonts w:eastAsia="Calibri" w:cs="Arial"/>
          <w:bCs/>
          <w:szCs w:val="22"/>
          <w:lang w:val="en-AU" w:bidi="ar-SA"/>
        </w:rPr>
        <w:t xml:space="preserve"> </w:t>
      </w:r>
      <w:r w:rsidRPr="0041193E">
        <w:rPr>
          <w:rFonts w:eastAsia="Calibri" w:cs="Arial"/>
          <w:bCs/>
          <w:szCs w:val="22"/>
          <w:lang w:val="en-AU" w:bidi="ar-SA"/>
        </w:rPr>
        <w:t xml:space="preserve">in accordance with Division 2 of Part 3 and </w:t>
      </w:r>
      <w:r w:rsidR="00CA3C65" w:rsidRPr="0041193E">
        <w:rPr>
          <w:rFonts w:eastAsia="Calibri" w:cs="Arial"/>
          <w:bCs/>
          <w:szCs w:val="22"/>
          <w:lang w:val="en-AU" w:bidi="ar-SA"/>
        </w:rPr>
        <w:t>prepared</w:t>
      </w:r>
      <w:r w:rsidRPr="0041193E">
        <w:rPr>
          <w:rFonts w:eastAsia="Calibri" w:cs="Arial"/>
          <w:bCs/>
          <w:szCs w:val="22"/>
          <w:lang w:val="en-AU" w:bidi="ar-SA"/>
        </w:rPr>
        <w:t xml:space="preserve"> a draft </w:t>
      </w:r>
      <w:r w:rsidR="004842B1">
        <w:rPr>
          <w:rFonts w:eastAsia="Calibri" w:cs="Arial"/>
          <w:bCs/>
          <w:szCs w:val="22"/>
          <w:lang w:val="en-AU" w:bidi="ar-SA"/>
        </w:rPr>
        <w:t>variation</w:t>
      </w:r>
      <w:r w:rsidRPr="0041193E">
        <w:rPr>
          <w:rFonts w:eastAsia="Calibri" w:cs="Arial"/>
          <w:bCs/>
          <w:szCs w:val="22"/>
          <w:lang w:val="en-AU" w:bidi="ar-SA"/>
        </w:rPr>
        <w:t xml:space="preserve">. </w:t>
      </w:r>
    </w:p>
    <w:p w14:paraId="4B7B7785" w14:textId="77777777" w:rsidR="00AF06FC" w:rsidRPr="0041193E" w:rsidRDefault="00AF06FC" w:rsidP="00AF06FC">
      <w:pPr>
        <w:widowControl/>
        <w:autoSpaceDE w:val="0"/>
        <w:autoSpaceDN w:val="0"/>
        <w:adjustRightInd w:val="0"/>
        <w:rPr>
          <w:rFonts w:eastAsia="Calibri" w:cs="Arial"/>
          <w:bCs/>
          <w:szCs w:val="22"/>
          <w:lang w:val="en-AU" w:bidi="ar-SA"/>
        </w:rPr>
      </w:pPr>
    </w:p>
    <w:p w14:paraId="5AA4F3A5"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0523E1FA" w14:textId="77777777" w:rsidR="00CB1375" w:rsidRPr="00C457F7" w:rsidRDefault="00CB1375" w:rsidP="00AF06FC">
      <w:pPr>
        <w:rPr>
          <w:lang w:val="en-AU" w:eastAsia="en-GB" w:bidi="ar-SA"/>
        </w:rPr>
      </w:pPr>
    </w:p>
    <w:p w14:paraId="5E519996" w14:textId="0BD71DBC" w:rsidR="00686E16" w:rsidRDefault="00AF06FC" w:rsidP="00686E16">
      <w:pPr>
        <w:rPr>
          <w:lang w:eastAsia="en-GB" w:bidi="ar-SA"/>
        </w:rPr>
      </w:pPr>
      <w:r w:rsidRPr="00686E16">
        <w:rPr>
          <w:rFonts w:eastAsia="Calibri" w:cs="Arial"/>
          <w:bCs/>
          <w:szCs w:val="22"/>
          <w:lang w:val="en-AU" w:bidi="ar-SA"/>
        </w:rPr>
        <w:t xml:space="preserve">The </w:t>
      </w:r>
      <w:r w:rsidR="00C06153">
        <w:rPr>
          <w:rFonts w:eastAsia="Calibri" w:cs="Arial"/>
          <w:bCs/>
          <w:szCs w:val="22"/>
          <w:lang w:val="en-AU" w:bidi="ar-SA"/>
        </w:rPr>
        <w:t xml:space="preserve">purpose of this variation is to </w:t>
      </w:r>
      <w:r w:rsidR="00686E16" w:rsidRPr="00686E16">
        <w:rPr>
          <w:rFonts w:eastAsia="Calibri" w:cs="Arial"/>
          <w:bCs/>
          <w:szCs w:val="22"/>
          <w:lang w:val="en-AU" w:bidi="ar-SA"/>
        </w:rPr>
        <w:t xml:space="preserve">amend the Code (Standard 1.6.1 and Schedule 27) to </w:t>
      </w:r>
      <w:r w:rsidR="00C06153">
        <w:rPr>
          <w:rFonts w:eastAsia="Calibri" w:cs="Arial"/>
          <w:bCs/>
          <w:szCs w:val="22"/>
          <w:lang w:val="en-AU" w:bidi="ar-SA"/>
        </w:rPr>
        <w:t>align the</w:t>
      </w:r>
      <w:r w:rsidR="00686E16" w:rsidRPr="00686E16">
        <w:rPr>
          <w:rFonts w:eastAsia="Calibri" w:cs="Arial"/>
          <w:bCs/>
          <w:szCs w:val="22"/>
          <w:lang w:val="en-AU" w:bidi="ar-SA"/>
        </w:rPr>
        <w:t xml:space="preserve"> food safety microbiological criteria for powdered infant formula products with international (Codex) standards</w:t>
      </w:r>
      <w:r w:rsidR="00686E16">
        <w:rPr>
          <w:rFonts w:eastAsia="Calibri" w:cs="Arial"/>
          <w:bCs/>
          <w:szCs w:val="22"/>
          <w:lang w:val="en-AU" w:bidi="ar-SA"/>
        </w:rPr>
        <w:t>.</w:t>
      </w:r>
      <w:r w:rsidR="00686E16" w:rsidRPr="00686E16">
        <w:rPr>
          <w:lang w:eastAsia="en-GB" w:bidi="ar-SA"/>
        </w:rPr>
        <w:t xml:space="preserve"> </w:t>
      </w:r>
    </w:p>
    <w:p w14:paraId="44446E5D" w14:textId="0E8A5214" w:rsidR="0041598E" w:rsidRDefault="0041598E" w:rsidP="00686E16">
      <w:pPr>
        <w:rPr>
          <w:lang w:eastAsia="en-GB" w:bidi="ar-SA"/>
        </w:rPr>
      </w:pPr>
    </w:p>
    <w:p w14:paraId="599AB245" w14:textId="02269788" w:rsidR="0041598E" w:rsidRPr="00AB2B03" w:rsidRDefault="0041598E" w:rsidP="0041598E">
      <w:r>
        <w:t>The</w:t>
      </w:r>
      <w:r w:rsidRPr="00AB2B03">
        <w:t xml:space="preserve"> amendments </w:t>
      </w:r>
      <w:r>
        <w:t>made by P1039</w:t>
      </w:r>
      <w:r w:rsidRPr="00AB2B03">
        <w:t xml:space="preserve"> are not subject to </w:t>
      </w:r>
      <w:r>
        <w:t xml:space="preserve">the stock in trade exemption provided by </w:t>
      </w:r>
      <w:r w:rsidR="006852A9">
        <w:t>section</w:t>
      </w:r>
      <w:r w:rsidRPr="00AB2B03">
        <w:t xml:space="preserve"> 1.1.1</w:t>
      </w:r>
      <w:r w:rsidR="006852A9">
        <w:t>—</w:t>
      </w:r>
      <w:r>
        <w:t>9</w:t>
      </w:r>
      <w:r w:rsidR="006852A9">
        <w:t xml:space="preserve"> of </w:t>
      </w:r>
      <w:r w:rsidR="006852A9" w:rsidRPr="00AB2B03">
        <w:t>Standard 1.1.1</w:t>
      </w:r>
      <w:r w:rsidR="006852A9">
        <w:t>.</w:t>
      </w:r>
    </w:p>
    <w:p w14:paraId="211A71BE" w14:textId="77777777" w:rsidR="0041598E" w:rsidRPr="00686E16" w:rsidRDefault="0041598E" w:rsidP="00686E16">
      <w:pPr>
        <w:rPr>
          <w:lang w:eastAsia="en-GB" w:bidi="ar-SA"/>
        </w:rPr>
      </w:pPr>
    </w:p>
    <w:p w14:paraId="5520B168" w14:textId="77777777" w:rsidR="00AF06FC" w:rsidRDefault="00AF06FC" w:rsidP="00AF06FC">
      <w:pPr>
        <w:rPr>
          <w:lang w:val="en-AU" w:eastAsia="en-GB" w:bidi="ar-SA"/>
        </w:rPr>
      </w:pPr>
    </w:p>
    <w:p w14:paraId="6242D4F8"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8F12767" w14:textId="77777777" w:rsidR="00AF06FC" w:rsidRDefault="00AF06FC" w:rsidP="00AF06FC">
      <w:pPr>
        <w:rPr>
          <w:lang w:val="en-AU" w:eastAsia="en-GB" w:bidi="ar-SA"/>
        </w:rPr>
      </w:pPr>
    </w:p>
    <w:p w14:paraId="7FC5F49A" w14:textId="465AFCDC" w:rsidR="00AF06FC" w:rsidRDefault="00C06153" w:rsidP="00AF06FC">
      <w:pPr>
        <w:rPr>
          <w:rFonts w:eastAsia="Calibri" w:cs="Arial"/>
          <w:bCs/>
          <w:szCs w:val="22"/>
          <w:lang w:bidi="ar-SA"/>
        </w:rPr>
      </w:pPr>
      <w:r>
        <w:rPr>
          <w:rFonts w:eastAsia="Calibri" w:cs="Arial"/>
          <w:bCs/>
          <w:szCs w:val="22"/>
          <w:lang w:bidi="ar-SA"/>
        </w:rPr>
        <w:t>The variation does not incorporate any documents by reference</w:t>
      </w:r>
      <w:r w:rsidR="006852A9">
        <w:rPr>
          <w:rFonts w:eastAsia="Calibri" w:cs="Arial"/>
          <w:bCs/>
          <w:szCs w:val="22"/>
          <w:lang w:bidi="ar-SA"/>
        </w:rPr>
        <w:t>.</w:t>
      </w:r>
      <w:r>
        <w:rPr>
          <w:rFonts w:eastAsia="Calibri" w:cs="Arial"/>
          <w:bCs/>
          <w:szCs w:val="22"/>
          <w:lang w:bidi="ar-SA"/>
        </w:rPr>
        <w:t xml:space="preserve"> </w:t>
      </w:r>
    </w:p>
    <w:p w14:paraId="2DAB7C53" w14:textId="77777777" w:rsidR="0041598E" w:rsidRDefault="0041598E" w:rsidP="00AF06FC">
      <w:pPr>
        <w:rPr>
          <w:lang w:val="en-AU" w:eastAsia="en-GB" w:bidi="ar-SA"/>
        </w:rPr>
      </w:pPr>
    </w:p>
    <w:p w14:paraId="6845B06E"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548E48CC" w14:textId="77777777" w:rsidR="00AF06FC" w:rsidRDefault="00AF06FC" w:rsidP="00AF06FC">
      <w:pPr>
        <w:rPr>
          <w:lang w:val="en-AU" w:eastAsia="en-GB" w:bidi="ar-SA"/>
        </w:rPr>
      </w:pPr>
    </w:p>
    <w:p w14:paraId="718B95F8" w14:textId="3BCE495C" w:rsidR="00F64653" w:rsidRPr="0041193E" w:rsidRDefault="00CC36E7" w:rsidP="00F64653">
      <w:pPr>
        <w:rPr>
          <w:lang w:val="en-AU"/>
        </w:rPr>
      </w:pPr>
      <w:r w:rsidRPr="0041193E">
        <w:rPr>
          <w:szCs w:val="22"/>
        </w:rPr>
        <w:t xml:space="preserve">In accordance with the procedure in Division </w:t>
      </w:r>
      <w:r w:rsidR="00A45E63" w:rsidRPr="0041193E">
        <w:rPr>
          <w:szCs w:val="22"/>
        </w:rPr>
        <w:t>2</w:t>
      </w:r>
      <w:r w:rsidRPr="0041193E">
        <w:rPr>
          <w:szCs w:val="22"/>
        </w:rPr>
        <w:t xml:space="preserve"> of Part </w:t>
      </w:r>
      <w:r w:rsidR="00A45E63" w:rsidRPr="0041193E">
        <w:rPr>
          <w:szCs w:val="22"/>
        </w:rPr>
        <w:t>3</w:t>
      </w:r>
      <w:r w:rsidRPr="0041193E">
        <w:rPr>
          <w:szCs w:val="22"/>
        </w:rPr>
        <w:t xml:space="preserve"> of the FSANZ Act, </w:t>
      </w:r>
      <w:r w:rsidRPr="0041193E">
        <w:rPr>
          <w:rFonts w:eastAsia="Calibri" w:cs="Arial"/>
          <w:bCs/>
          <w:szCs w:val="22"/>
          <w:lang w:val="en-AU" w:bidi="ar-SA"/>
        </w:rPr>
        <w:t>the Authority</w:t>
      </w:r>
      <w:r w:rsidRPr="0041193E">
        <w:rPr>
          <w:szCs w:val="22"/>
        </w:rPr>
        <w:t xml:space="preserve">’s consideration of Proposal </w:t>
      </w:r>
      <w:r w:rsidR="0041193E" w:rsidRPr="0041193E">
        <w:rPr>
          <w:szCs w:val="22"/>
        </w:rPr>
        <w:t>P1039</w:t>
      </w:r>
      <w:r w:rsidRPr="0041193E">
        <w:rPr>
          <w:szCs w:val="22"/>
        </w:rPr>
        <w:t xml:space="preserve"> will include one round of public consultation following an assessment and the preparation of a draft </w:t>
      </w:r>
      <w:r w:rsidR="0041193E" w:rsidRPr="0041193E">
        <w:rPr>
          <w:szCs w:val="22"/>
        </w:rPr>
        <w:t xml:space="preserve">variation to the </w:t>
      </w:r>
      <w:r w:rsidR="006852A9">
        <w:rPr>
          <w:szCs w:val="22"/>
        </w:rPr>
        <w:t>Code</w:t>
      </w:r>
      <w:r w:rsidR="006852A9" w:rsidRPr="0041193E">
        <w:rPr>
          <w:szCs w:val="22"/>
        </w:rPr>
        <w:t xml:space="preserve"> </w:t>
      </w:r>
      <w:r w:rsidRPr="0041193E">
        <w:rPr>
          <w:szCs w:val="22"/>
        </w:rPr>
        <w:t xml:space="preserve">and </w:t>
      </w:r>
      <w:r w:rsidR="006852A9">
        <w:rPr>
          <w:szCs w:val="22"/>
        </w:rPr>
        <w:t xml:space="preserve">an </w:t>
      </w:r>
      <w:r w:rsidRPr="0041193E">
        <w:rPr>
          <w:szCs w:val="22"/>
        </w:rPr>
        <w:t xml:space="preserve">associated report. </w:t>
      </w:r>
    </w:p>
    <w:p w14:paraId="13053F76" w14:textId="77777777" w:rsidR="00294BAD" w:rsidRPr="0041193E" w:rsidRDefault="00294BAD" w:rsidP="00F64653"/>
    <w:p w14:paraId="5CEBFDF0" w14:textId="24877B55" w:rsidR="00AF06FC" w:rsidRPr="0041193E" w:rsidRDefault="00AF06FC" w:rsidP="00AF06FC">
      <w:pPr>
        <w:widowControl/>
        <w:autoSpaceDE w:val="0"/>
        <w:autoSpaceDN w:val="0"/>
        <w:adjustRightInd w:val="0"/>
        <w:rPr>
          <w:rFonts w:cs="Arial"/>
          <w:szCs w:val="22"/>
        </w:rPr>
      </w:pPr>
      <w:r w:rsidRPr="0041193E">
        <w:rPr>
          <w:rFonts w:eastAsia="Calibri" w:cs="Arial"/>
          <w:bCs/>
          <w:szCs w:val="22"/>
          <w:lang w:val="en-AU" w:bidi="ar-SA"/>
        </w:rPr>
        <w:t>A Regulation Impact Statement was not required because the proposed variations to Standard</w:t>
      </w:r>
      <w:r w:rsidR="00C366D2">
        <w:rPr>
          <w:rFonts w:eastAsia="Calibri" w:cs="Arial"/>
          <w:bCs/>
          <w:szCs w:val="22"/>
          <w:lang w:val="en-AU" w:bidi="ar-SA"/>
        </w:rPr>
        <w:t>s 1.1.1, 1.1.2 and</w:t>
      </w:r>
      <w:r w:rsidRPr="0041193E">
        <w:rPr>
          <w:rFonts w:eastAsia="Calibri" w:cs="Arial"/>
          <w:bCs/>
          <w:szCs w:val="22"/>
          <w:lang w:val="en-AU" w:bidi="ar-SA"/>
        </w:rPr>
        <w:t xml:space="preserve"> </w:t>
      </w:r>
      <w:r w:rsidR="00A45E63" w:rsidRPr="0041193E">
        <w:rPr>
          <w:rFonts w:eastAsia="Calibri" w:cs="Arial"/>
          <w:bCs/>
          <w:szCs w:val="22"/>
          <w:lang w:val="en-AU" w:bidi="ar-SA"/>
        </w:rPr>
        <w:t>1.6.1</w:t>
      </w:r>
      <w:r w:rsidR="00C366D2">
        <w:rPr>
          <w:rFonts w:eastAsia="Calibri" w:cs="Arial"/>
          <w:bCs/>
          <w:szCs w:val="22"/>
          <w:lang w:val="en-AU" w:bidi="ar-SA"/>
        </w:rPr>
        <w:t xml:space="preserve"> and Schedule 27</w:t>
      </w:r>
      <w:r w:rsidRPr="0041193E">
        <w:rPr>
          <w:rFonts w:eastAsia="Calibri" w:cs="Arial"/>
          <w:bCs/>
          <w:szCs w:val="22"/>
          <w:lang w:val="en-AU" w:bidi="ar-SA"/>
        </w:rPr>
        <w:t xml:space="preserve"> </w:t>
      </w:r>
      <w:r w:rsidRPr="0041193E">
        <w:t>are likely to have a minor impact on business and individuals</w:t>
      </w:r>
      <w:r w:rsidR="00436B8D" w:rsidRPr="0041193E">
        <w:t xml:space="preserve">. </w:t>
      </w:r>
    </w:p>
    <w:p w14:paraId="6479BFA5" w14:textId="77777777" w:rsidR="00553969" w:rsidRDefault="00553969" w:rsidP="00553969">
      <w:pPr>
        <w:widowControl/>
        <w:rPr>
          <w:rFonts w:eastAsiaTheme="minorHAnsi" w:cs="Arial"/>
          <w:b/>
          <w:bCs/>
          <w:szCs w:val="22"/>
          <w:lang w:val="en-AU" w:bidi="ar-SA"/>
        </w:rPr>
      </w:pPr>
    </w:p>
    <w:p w14:paraId="2DBA0684" w14:textId="77777777"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498CD2B" w14:textId="77777777" w:rsidR="00553969" w:rsidRDefault="00553969" w:rsidP="00553969">
      <w:pPr>
        <w:rPr>
          <w:rFonts w:eastAsiaTheme="minorHAnsi"/>
          <w:lang w:val="en-AU" w:bidi="ar-SA"/>
        </w:rPr>
      </w:pPr>
    </w:p>
    <w:p w14:paraId="0503D4F3"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7F0D1815" w14:textId="77777777" w:rsidR="00553969" w:rsidRDefault="00553969" w:rsidP="00553969">
      <w:pPr>
        <w:rPr>
          <w:rFonts w:eastAsiaTheme="minorHAnsi"/>
          <w:lang w:val="en-AU" w:bidi="ar-SA"/>
        </w:rPr>
      </w:pPr>
    </w:p>
    <w:p w14:paraId="3461EB78" w14:textId="77777777"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14:paraId="3C6A467D" w14:textId="4514ED85" w:rsidR="00686E16" w:rsidRPr="001333EB" w:rsidRDefault="00686E16" w:rsidP="00686E16"/>
    <w:p w14:paraId="541EFB3B" w14:textId="32F5389F" w:rsidR="00686E16" w:rsidRPr="001333EB" w:rsidRDefault="009C6546" w:rsidP="00686E16">
      <w:r w:rsidRPr="001333EB">
        <w:t xml:space="preserve">Item </w:t>
      </w:r>
      <w:r w:rsidR="006852A9">
        <w:t>[</w:t>
      </w:r>
      <w:r w:rsidRPr="001333EB">
        <w:t>1</w:t>
      </w:r>
      <w:r w:rsidR="006852A9">
        <w:t>]</w:t>
      </w:r>
      <w:r w:rsidRPr="001333EB">
        <w:t xml:space="preserve"> </w:t>
      </w:r>
      <w:r w:rsidR="006852A9">
        <w:t xml:space="preserve">varies subsection 1.1.1—2(2) of </w:t>
      </w:r>
      <w:r w:rsidR="008C61BF">
        <w:t xml:space="preserve">Standard 1.1.1 to </w:t>
      </w:r>
      <w:r w:rsidR="006852A9">
        <w:t xml:space="preserve">change </w:t>
      </w:r>
      <w:r w:rsidR="008C61BF">
        <w:t>the</w:t>
      </w:r>
      <w:r w:rsidR="00B42C71" w:rsidRPr="001333EB">
        <w:t xml:space="preserve"> </w:t>
      </w:r>
      <w:r w:rsidR="006852A9">
        <w:t xml:space="preserve">reference to </w:t>
      </w:r>
      <w:r w:rsidR="006852A9" w:rsidRPr="001333EB">
        <w:t>Standard 1.6.1</w:t>
      </w:r>
      <w:r w:rsidR="006852A9">
        <w:t xml:space="preserve"> in that subsection</w:t>
      </w:r>
      <w:r w:rsidR="006852A9" w:rsidRPr="001333EB">
        <w:t xml:space="preserve"> </w:t>
      </w:r>
      <w:r w:rsidR="006852A9">
        <w:t xml:space="preserve">to reflect the </w:t>
      </w:r>
      <w:r w:rsidR="008C61BF">
        <w:t xml:space="preserve">variation made by </w:t>
      </w:r>
      <w:r w:rsidR="006852A9">
        <w:t>i</w:t>
      </w:r>
      <w:r w:rsidR="008C61BF">
        <w:t xml:space="preserve">tem </w:t>
      </w:r>
      <w:r w:rsidR="006852A9">
        <w:t>[</w:t>
      </w:r>
      <w:r w:rsidR="008C61BF">
        <w:t>3</w:t>
      </w:r>
      <w:r w:rsidR="006852A9">
        <w:t>] below</w:t>
      </w:r>
      <w:r w:rsidR="008C61BF">
        <w:t>.</w:t>
      </w:r>
      <w:r w:rsidR="00686E16" w:rsidRPr="001333EB">
        <w:t xml:space="preserve"> </w:t>
      </w:r>
      <w:r w:rsidR="006852A9">
        <w:t xml:space="preserve"> Item [3] changes the name of </w:t>
      </w:r>
      <w:r w:rsidR="006852A9" w:rsidRPr="001333EB">
        <w:t>Standard 1.6.1</w:t>
      </w:r>
      <w:r w:rsidR="006852A9">
        <w:t>.</w:t>
      </w:r>
    </w:p>
    <w:p w14:paraId="5CE617D2" w14:textId="77777777" w:rsidR="00686E16" w:rsidRPr="001333EB" w:rsidRDefault="00686E16" w:rsidP="00686E16"/>
    <w:p w14:paraId="72577879" w14:textId="628F3A25" w:rsidR="0037182C" w:rsidRDefault="00EC6B57" w:rsidP="00EC6B57">
      <w:pPr>
        <w:rPr>
          <w:iCs/>
        </w:rPr>
      </w:pPr>
      <w:r w:rsidRPr="001333EB">
        <w:t xml:space="preserve">Item </w:t>
      </w:r>
      <w:r w:rsidR="006852A9">
        <w:t>[</w:t>
      </w:r>
      <w:r w:rsidRPr="001333EB">
        <w:t>2</w:t>
      </w:r>
      <w:r w:rsidR="006852A9">
        <w:t>]</w:t>
      </w:r>
      <w:r w:rsidRPr="001333EB">
        <w:t xml:space="preserve"> </w:t>
      </w:r>
      <w:r w:rsidR="006852A9">
        <w:t xml:space="preserve">varies subsection 1.1.2—2(3) of Standard 1.1.2 </w:t>
      </w:r>
      <w:r w:rsidR="00B119DA">
        <w:t>by replacing</w:t>
      </w:r>
      <w:r w:rsidR="006852A9">
        <w:t xml:space="preserve"> the </w:t>
      </w:r>
      <w:r w:rsidR="001F188B">
        <w:t xml:space="preserve">definition for </w:t>
      </w:r>
      <w:r w:rsidR="001F188B" w:rsidRPr="00122257">
        <w:rPr>
          <w:b/>
        </w:rPr>
        <w:t>SPC</w:t>
      </w:r>
      <w:r w:rsidR="006852A9">
        <w:rPr>
          <w:b/>
        </w:rPr>
        <w:t xml:space="preserve">. </w:t>
      </w:r>
      <w:r w:rsidR="006852A9" w:rsidRPr="00122257">
        <w:t>The new definition</w:t>
      </w:r>
      <w:r w:rsidR="001F188B" w:rsidRPr="00422C48">
        <w:t xml:space="preserve"> </w:t>
      </w:r>
      <w:r w:rsidR="006852A9">
        <w:t>reflects the variation made by</w:t>
      </w:r>
      <w:r w:rsidR="009722D5" w:rsidRPr="00422C48">
        <w:t xml:space="preserve"> </w:t>
      </w:r>
      <w:r w:rsidR="006852A9">
        <w:t>i</w:t>
      </w:r>
      <w:r w:rsidR="009722D5" w:rsidRPr="00422C48">
        <w:t xml:space="preserve">tem </w:t>
      </w:r>
      <w:r w:rsidR="006852A9">
        <w:t>[</w:t>
      </w:r>
      <w:r w:rsidR="009722D5" w:rsidRPr="00422C48">
        <w:t>4.2</w:t>
      </w:r>
      <w:r w:rsidR="006852A9">
        <w:t>]</w:t>
      </w:r>
      <w:r w:rsidR="00B119DA">
        <w:t xml:space="preserve"> below</w:t>
      </w:r>
      <w:r w:rsidR="006852A9">
        <w:t>, which</w:t>
      </w:r>
      <w:r w:rsidR="009722D5" w:rsidRPr="00422C48">
        <w:t xml:space="preserve"> removes the </w:t>
      </w:r>
      <w:r w:rsidR="002700BC" w:rsidRPr="00422C48">
        <w:rPr>
          <w:iCs/>
        </w:rPr>
        <w:t xml:space="preserve">limit for SPC in powdered infant formula </w:t>
      </w:r>
      <w:r w:rsidR="009722D5" w:rsidRPr="006852A9">
        <w:rPr>
          <w:iCs/>
        </w:rPr>
        <w:t xml:space="preserve">from the </w:t>
      </w:r>
      <w:r w:rsidR="002700BC" w:rsidRPr="006852A9" w:rsidDel="009722D5">
        <w:rPr>
          <w:iCs/>
        </w:rPr>
        <w:t>Code</w:t>
      </w:r>
      <w:r w:rsidR="002700BC">
        <w:rPr>
          <w:iCs/>
        </w:rPr>
        <w:t>.</w:t>
      </w:r>
      <w:r w:rsidRPr="001333EB">
        <w:rPr>
          <w:iCs/>
        </w:rPr>
        <w:t xml:space="preserve"> </w:t>
      </w:r>
      <w:r w:rsidR="0037182C">
        <w:rPr>
          <w:iCs/>
        </w:rPr>
        <w:br w:type="page"/>
      </w:r>
    </w:p>
    <w:p w14:paraId="3EDDD00B" w14:textId="64129150" w:rsidR="00B42C71" w:rsidRPr="001333EB" w:rsidRDefault="00B42C71" w:rsidP="00B42C71">
      <w:r w:rsidRPr="001333EB">
        <w:lastRenderedPageBreak/>
        <w:t xml:space="preserve">Item </w:t>
      </w:r>
      <w:r w:rsidR="00B119DA">
        <w:t>[</w:t>
      </w:r>
      <w:r w:rsidRPr="001333EB">
        <w:t>3</w:t>
      </w:r>
      <w:r w:rsidR="00B119DA">
        <w:t>]</w:t>
      </w:r>
      <w:r w:rsidRPr="001333EB" w:rsidDel="001F188B">
        <w:t xml:space="preserve"> </w:t>
      </w:r>
      <w:r w:rsidR="00B119DA">
        <w:t>varies</w:t>
      </w:r>
      <w:r w:rsidRPr="001333EB">
        <w:t xml:space="preserve"> Standard 1.6.1 </w:t>
      </w:r>
      <w:r w:rsidR="00B119DA">
        <w:t xml:space="preserve">to change its title </w:t>
      </w:r>
      <w:r w:rsidRPr="001333EB">
        <w:t>from “Microbiological limits in food” to “Food safety microbiological criteria”</w:t>
      </w:r>
      <w:r w:rsidR="00BF3DA7">
        <w:t>.</w:t>
      </w:r>
    </w:p>
    <w:p w14:paraId="40BA0B90" w14:textId="77777777" w:rsidR="001333EB" w:rsidRPr="001333EB" w:rsidRDefault="001333EB" w:rsidP="009C6546"/>
    <w:p w14:paraId="1B478EC8" w14:textId="58153066" w:rsidR="00B119DA" w:rsidRDefault="00B119DA" w:rsidP="009C6546">
      <w:r>
        <w:t>Item [4] varies Schedule 27.</w:t>
      </w:r>
    </w:p>
    <w:p w14:paraId="02A886CD" w14:textId="77777777" w:rsidR="00B119DA" w:rsidRDefault="00B119DA" w:rsidP="009C6546"/>
    <w:p w14:paraId="3895B388" w14:textId="405EFE35" w:rsidR="009C6546" w:rsidRDefault="009C6546" w:rsidP="009C6546">
      <w:r>
        <w:t xml:space="preserve">Item </w:t>
      </w:r>
      <w:r w:rsidR="00B119DA">
        <w:t>[</w:t>
      </w:r>
      <w:r w:rsidR="00CF0C7A">
        <w:t>4</w:t>
      </w:r>
      <w:r>
        <w:t>.1</w:t>
      </w:r>
      <w:r w:rsidR="00B119DA">
        <w:t>]</w:t>
      </w:r>
      <w:r>
        <w:t xml:space="preserve"> </w:t>
      </w:r>
      <w:r w:rsidR="00B119DA">
        <w:t xml:space="preserve">replaces </w:t>
      </w:r>
      <w:r w:rsidR="008428A8">
        <w:t>the Note to section 27—2</w:t>
      </w:r>
      <w:r w:rsidR="00B119DA">
        <w:t xml:space="preserve"> to reflect the variation made by item [2] above. The new Note refers to the</w:t>
      </w:r>
      <w:r w:rsidR="008428A8">
        <w:t xml:space="preserve"> amended </w:t>
      </w:r>
      <w:r w:rsidR="00185AD8">
        <w:t xml:space="preserve">definition of </w:t>
      </w:r>
      <w:r w:rsidR="00185AD8" w:rsidRPr="00122257">
        <w:rPr>
          <w:b/>
        </w:rPr>
        <w:t>SPC</w:t>
      </w:r>
      <w:r w:rsidR="00185AD8">
        <w:t xml:space="preserve"> </w:t>
      </w:r>
      <w:r w:rsidR="008428A8">
        <w:t xml:space="preserve">in </w:t>
      </w:r>
      <w:r w:rsidR="00057B5F">
        <w:t>s</w:t>
      </w:r>
      <w:r w:rsidR="00B119DA">
        <w:t xml:space="preserve">ubsection 1.1.2—2(3) </w:t>
      </w:r>
      <w:r w:rsidR="00057B5F">
        <w:t xml:space="preserve">of </w:t>
      </w:r>
      <w:r w:rsidR="00C41277">
        <w:t>S</w:t>
      </w:r>
      <w:r w:rsidR="008428A8">
        <w:t>tandard 1.1.2</w:t>
      </w:r>
      <w:r w:rsidR="00185AD8">
        <w:t>.</w:t>
      </w:r>
    </w:p>
    <w:p w14:paraId="52B9E585" w14:textId="77777777" w:rsidR="009C6546" w:rsidRDefault="009C6546" w:rsidP="00686E16"/>
    <w:p w14:paraId="427DF581" w14:textId="7CA4E473" w:rsidR="009C6546" w:rsidRDefault="009C6546" w:rsidP="009C6546">
      <w:r>
        <w:t xml:space="preserve">Item </w:t>
      </w:r>
      <w:r w:rsidR="00B119DA">
        <w:t>[</w:t>
      </w:r>
      <w:r w:rsidR="00CF0C7A">
        <w:t>4</w:t>
      </w:r>
      <w:r>
        <w:t>.2</w:t>
      </w:r>
      <w:r w:rsidR="00B119DA">
        <w:t>]</w:t>
      </w:r>
      <w:r>
        <w:t xml:space="preserve"> </w:t>
      </w:r>
      <w:r w:rsidR="00B119DA">
        <w:t>omits section S27—3. Section S27—3 provides that the</w:t>
      </w:r>
      <w:r w:rsidR="00B119DA" w:rsidRPr="001D1563">
        <w:t xml:space="preserve"> limit for SPC in section S27—4 does not apply to powdered infant formula products</w:t>
      </w:r>
      <w:r w:rsidR="00B119DA" w:rsidRPr="001D1563" w:rsidDel="00DC20B6">
        <w:t xml:space="preserve"> </w:t>
      </w:r>
      <w:r w:rsidR="00B119DA" w:rsidRPr="001D1563">
        <w:t>that contain lactic acid producing microorganisms</w:t>
      </w:r>
      <w:r w:rsidR="00B119DA">
        <w:t>. This</w:t>
      </w:r>
      <w:r w:rsidR="00B119DA" w:rsidRPr="00CF0C7A">
        <w:t xml:space="preserve"> </w:t>
      </w:r>
      <w:r w:rsidR="00CF0C7A" w:rsidRPr="00CF0C7A">
        <w:t xml:space="preserve">exemption </w:t>
      </w:r>
      <w:r w:rsidR="002700BC">
        <w:rPr>
          <w:iCs/>
        </w:rPr>
        <w:t xml:space="preserve">is no longer required as </w:t>
      </w:r>
      <w:r w:rsidR="00B119DA">
        <w:rPr>
          <w:iCs/>
        </w:rPr>
        <w:t>i</w:t>
      </w:r>
      <w:r w:rsidR="00A83B95">
        <w:rPr>
          <w:iCs/>
        </w:rPr>
        <w:t xml:space="preserve">tem </w:t>
      </w:r>
      <w:r w:rsidR="00B119DA">
        <w:rPr>
          <w:iCs/>
        </w:rPr>
        <w:t>[</w:t>
      </w:r>
      <w:r w:rsidR="00A83B95">
        <w:rPr>
          <w:iCs/>
        </w:rPr>
        <w:t>4.3</w:t>
      </w:r>
      <w:r w:rsidR="00B119DA">
        <w:rPr>
          <w:iCs/>
        </w:rPr>
        <w:t>]</w:t>
      </w:r>
      <w:r w:rsidR="00A83B95">
        <w:rPr>
          <w:iCs/>
        </w:rPr>
        <w:t xml:space="preserve"> removes </w:t>
      </w:r>
      <w:r w:rsidR="002700BC">
        <w:rPr>
          <w:iCs/>
        </w:rPr>
        <w:t>the limits for SPC in powdered infant formula from the Code.</w:t>
      </w:r>
    </w:p>
    <w:p w14:paraId="55FE129C" w14:textId="62153B5A" w:rsidR="009C6546" w:rsidRDefault="00686E16" w:rsidP="00686E16">
      <w:r>
        <w:t xml:space="preserve"> </w:t>
      </w:r>
    </w:p>
    <w:p w14:paraId="74375F10" w14:textId="00D22999" w:rsidR="00CF0C7A" w:rsidRDefault="009C6546" w:rsidP="00CF0C7A">
      <w:r>
        <w:t xml:space="preserve">Item </w:t>
      </w:r>
      <w:r w:rsidR="00B119DA">
        <w:t>[</w:t>
      </w:r>
      <w:r w:rsidR="00CF0C7A">
        <w:t>4</w:t>
      </w:r>
      <w:r>
        <w:t>.3</w:t>
      </w:r>
      <w:r w:rsidR="00B119DA">
        <w:t xml:space="preserve">] varies the table to section S27—4. </w:t>
      </w:r>
      <w:r w:rsidR="00BF3DA7">
        <w:t>The variation</w:t>
      </w:r>
      <w:r w:rsidR="00B119DA">
        <w:t>:</w:t>
      </w:r>
    </w:p>
    <w:p w14:paraId="38259087" w14:textId="77777777" w:rsidR="00B41294" w:rsidRDefault="00B41294" w:rsidP="00CF0C7A"/>
    <w:p w14:paraId="6E41D2BF" w14:textId="61B57359" w:rsidR="00A11D2B" w:rsidRDefault="00A11D2B" w:rsidP="0091415F">
      <w:pPr>
        <w:pStyle w:val="FSBullet1"/>
      </w:pPr>
      <w:r>
        <w:t>separate</w:t>
      </w:r>
      <w:r w:rsidR="00BF3DA7">
        <w:t>s</w:t>
      </w:r>
      <w:r>
        <w:t xml:space="preserve"> the </w:t>
      </w:r>
      <w:r w:rsidR="00113715">
        <w:t xml:space="preserve">microbiological </w:t>
      </w:r>
      <w:r>
        <w:t xml:space="preserve">limits for powdered infant formula products in the table into two new </w:t>
      </w:r>
      <w:r w:rsidR="00113715">
        <w:t xml:space="preserve">food </w:t>
      </w:r>
      <w:r>
        <w:t>categories: powdered infant formula and powdered follow-on formula</w:t>
      </w:r>
      <w:r w:rsidR="00B119DA">
        <w:t>;</w:t>
      </w:r>
    </w:p>
    <w:p w14:paraId="440E2984" w14:textId="77777777" w:rsidR="00A11D2B" w:rsidRPr="00A11D2B" w:rsidRDefault="00A11D2B" w:rsidP="00122257"/>
    <w:p w14:paraId="2D34B37F" w14:textId="58A60154" w:rsidR="003E35DF" w:rsidRDefault="00113715" w:rsidP="0091415F">
      <w:pPr>
        <w:pStyle w:val="FSBullet1"/>
      </w:pPr>
      <w:r>
        <w:t>removes</w:t>
      </w:r>
      <w:r w:rsidR="00B41294" w:rsidRPr="00CF0C7A">
        <w:t xml:space="preserve"> </w:t>
      </w:r>
      <w:r w:rsidR="009C6546" w:rsidRPr="00CF0C7A">
        <w:t xml:space="preserve">the current limits specified </w:t>
      </w:r>
      <w:r>
        <w:t xml:space="preserve">in the table </w:t>
      </w:r>
      <w:r w:rsidR="009C6546" w:rsidRPr="00CF0C7A">
        <w:t xml:space="preserve">for </w:t>
      </w:r>
      <w:r w:rsidR="00686E16" w:rsidRPr="00CF0C7A">
        <w:t>Coliforms</w:t>
      </w:r>
      <w:r w:rsidR="001333EB">
        <w:t xml:space="preserve">, </w:t>
      </w:r>
      <w:r w:rsidR="001333EB" w:rsidRPr="00CF0C7A">
        <w:t>Coagulase-positive staphylococci</w:t>
      </w:r>
      <w:r w:rsidR="001333EB">
        <w:t xml:space="preserve">, </w:t>
      </w:r>
      <w:r w:rsidR="001333EB" w:rsidRPr="0091415F">
        <w:rPr>
          <w:i/>
        </w:rPr>
        <w:t>Bacillus cereus</w:t>
      </w:r>
      <w:r w:rsidR="001333EB">
        <w:t xml:space="preserve"> and </w:t>
      </w:r>
      <w:r w:rsidR="001333EB" w:rsidRPr="00CF0C7A">
        <w:t>SPC</w:t>
      </w:r>
      <w:r w:rsidR="00686E16" w:rsidRPr="00CF0C7A">
        <w:t xml:space="preserve"> </w:t>
      </w:r>
      <w:r w:rsidR="009C6546" w:rsidRPr="00CF0C7A">
        <w:t xml:space="preserve">in </w:t>
      </w:r>
      <w:r>
        <w:t>respect of these foods</w:t>
      </w:r>
      <w:r w:rsidR="00B119DA">
        <w:t>;</w:t>
      </w:r>
    </w:p>
    <w:p w14:paraId="461BE5A4" w14:textId="7E747E0F" w:rsidR="00CF0C7A" w:rsidRDefault="00CF0C7A" w:rsidP="0091415F">
      <w:pPr>
        <w:pStyle w:val="FSBullet1"/>
        <w:numPr>
          <w:ilvl w:val="0"/>
          <w:numId w:val="0"/>
        </w:numPr>
        <w:ind w:left="567"/>
      </w:pPr>
    </w:p>
    <w:p w14:paraId="7E5B8F5F" w14:textId="251356E9" w:rsidR="003E35DF" w:rsidRDefault="003E35DF" w:rsidP="0091415F">
      <w:pPr>
        <w:pStyle w:val="FSBullet1"/>
      </w:pPr>
      <w:r w:rsidRPr="00CF0C7A">
        <w:t>amend</w:t>
      </w:r>
      <w:r>
        <w:t>s</w:t>
      </w:r>
      <w:r w:rsidRPr="00CF0C7A">
        <w:t xml:space="preserve"> </w:t>
      </w:r>
      <w:r w:rsidR="00686E16" w:rsidRPr="00CF0C7A">
        <w:t xml:space="preserve">the sampling plan for </w:t>
      </w:r>
      <w:r w:rsidR="00686E16" w:rsidRPr="0091415F">
        <w:rPr>
          <w:i/>
        </w:rPr>
        <w:t>Salmonella</w:t>
      </w:r>
      <w:r w:rsidR="00686E16" w:rsidRPr="00CF0C7A">
        <w:t xml:space="preserve"> in </w:t>
      </w:r>
      <w:r w:rsidR="00113715">
        <w:t>these foods</w:t>
      </w:r>
      <w:r w:rsidR="00686E16" w:rsidRPr="00CF0C7A">
        <w:t xml:space="preserve"> by repl</w:t>
      </w:r>
      <w:r w:rsidR="00CF0C7A">
        <w:t>acing 10 with 60 in Column 2(n) in the table</w:t>
      </w:r>
      <w:r w:rsidR="00B119DA">
        <w:t>; and</w:t>
      </w:r>
    </w:p>
    <w:p w14:paraId="2661F8A2" w14:textId="1DE6E888" w:rsidR="00CF0C7A" w:rsidRPr="00CF0C7A" w:rsidRDefault="00CF0C7A" w:rsidP="0091415F">
      <w:pPr>
        <w:pStyle w:val="FSBullet1"/>
        <w:numPr>
          <w:ilvl w:val="0"/>
          <w:numId w:val="0"/>
        </w:numPr>
        <w:ind w:left="567"/>
      </w:pPr>
    </w:p>
    <w:p w14:paraId="03CA71EE" w14:textId="04DF963F" w:rsidR="00AB0275" w:rsidRDefault="00BF3DA7" w:rsidP="0091415F">
      <w:pPr>
        <w:pStyle w:val="FSBullet1"/>
      </w:pPr>
      <w:r>
        <w:t>inserts</w:t>
      </w:r>
      <w:r w:rsidR="00BD1CF9">
        <w:t xml:space="preserve"> new</w:t>
      </w:r>
      <w:r w:rsidR="00BD1CF9" w:rsidRPr="00CF0C7A">
        <w:t xml:space="preserve"> </w:t>
      </w:r>
      <w:r w:rsidR="00686E16" w:rsidRPr="00CF0C7A">
        <w:t xml:space="preserve">limits for </w:t>
      </w:r>
      <w:r w:rsidR="00686E16" w:rsidRPr="0091415F">
        <w:rPr>
          <w:i/>
        </w:rPr>
        <w:t>Cronobacter</w:t>
      </w:r>
      <w:r w:rsidR="00686E16" w:rsidRPr="00CF0C7A">
        <w:t xml:space="preserve"> in powdered infant formula</w:t>
      </w:r>
      <w:r>
        <w:t xml:space="preserve">, </w:t>
      </w:r>
      <w:r w:rsidR="00686E16" w:rsidRPr="00CF0C7A">
        <w:t>where</w:t>
      </w:r>
      <w:r>
        <w:t xml:space="preserve"> the number of sample units </w:t>
      </w:r>
      <w:r w:rsidR="00422C48">
        <w:t xml:space="preserve">(n) </w:t>
      </w:r>
      <w:r w:rsidR="00686E16" w:rsidRPr="00CF0C7A">
        <w:t>is 30,</w:t>
      </w:r>
      <w:r w:rsidR="00422C48">
        <w:t xml:space="preserve"> the acceptable microbiological limit (m) </w:t>
      </w:r>
      <w:r w:rsidR="00422C48" w:rsidRPr="00CF0C7A">
        <w:t xml:space="preserve">is </w:t>
      </w:r>
      <w:r w:rsidR="00422C48">
        <w:t>‘</w:t>
      </w:r>
      <w:r w:rsidR="00422C48" w:rsidRPr="00CF0C7A">
        <w:t>not dete</w:t>
      </w:r>
      <w:r w:rsidR="00422C48">
        <w:t>cted in 10g’, and</w:t>
      </w:r>
      <w:r w:rsidR="00686E16" w:rsidRPr="00CF0C7A">
        <w:t xml:space="preserve"> </w:t>
      </w:r>
      <w:r>
        <w:t>the number of sam</w:t>
      </w:r>
      <w:r w:rsidR="00422C48">
        <w:t>ple units allowed to exceed that acceptable microbiological limit (c)</w:t>
      </w:r>
      <w:r w:rsidR="00686E16" w:rsidRPr="00CF0C7A">
        <w:t xml:space="preserve"> is 0</w:t>
      </w:r>
      <w:r w:rsidR="00CF0C7A">
        <w:t xml:space="preserve">. </w:t>
      </w:r>
      <w:r w:rsidR="00686E16" w:rsidRPr="00CF0C7A">
        <w:t xml:space="preserve">These limits </w:t>
      </w:r>
      <w:r w:rsidR="009C6546" w:rsidRPr="00CF0C7A">
        <w:t>do</w:t>
      </w:r>
      <w:r w:rsidR="001333EB">
        <w:t xml:space="preserve"> not apply to </w:t>
      </w:r>
      <w:r w:rsidR="00BD1CF9">
        <w:t>powdered follow-on formula</w:t>
      </w:r>
      <w:r w:rsidR="00686E16" w:rsidRPr="00CF0C7A">
        <w:t>.</w:t>
      </w:r>
    </w:p>
    <w:sectPr w:rsidR="00AB0275" w:rsidSect="00A756A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0493C" w14:textId="77777777" w:rsidR="00686A4B" w:rsidRDefault="00686A4B">
      <w:r>
        <w:separator/>
      </w:r>
    </w:p>
  </w:endnote>
  <w:endnote w:type="continuationSeparator" w:id="0">
    <w:p w14:paraId="69845C24" w14:textId="77777777" w:rsidR="00686A4B" w:rsidRDefault="00686A4B">
      <w:r>
        <w:continuationSeparator/>
      </w:r>
    </w:p>
  </w:endnote>
  <w:endnote w:type="continuationNotice" w:id="1">
    <w:p w14:paraId="5F2119E6" w14:textId="77777777" w:rsidR="00686A4B" w:rsidRDefault="0068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CCB6" w14:textId="77777777" w:rsidR="00FE291F" w:rsidRDefault="00FE291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850A2" w14:textId="77777777" w:rsidR="00FE291F" w:rsidRDefault="00FE2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8AED" w14:textId="77777777" w:rsidR="00FE291F" w:rsidRDefault="00FE291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34F">
      <w:rPr>
        <w:rStyle w:val="PageNumber"/>
        <w:noProof/>
      </w:rPr>
      <w:t>1</w:t>
    </w:r>
    <w:r>
      <w:rPr>
        <w:rStyle w:val="PageNumber"/>
      </w:rPr>
      <w:fldChar w:fldCharType="end"/>
    </w:r>
  </w:p>
  <w:p w14:paraId="39B9B13D" w14:textId="77777777" w:rsidR="00FE291F" w:rsidRDefault="00FE29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5992A" w14:textId="77777777" w:rsidR="00686A4B" w:rsidRDefault="00686A4B">
      <w:r>
        <w:separator/>
      </w:r>
    </w:p>
  </w:footnote>
  <w:footnote w:type="continuationSeparator" w:id="0">
    <w:p w14:paraId="3502BD23" w14:textId="77777777" w:rsidR="00686A4B" w:rsidRDefault="00686A4B">
      <w:r>
        <w:continuationSeparator/>
      </w:r>
    </w:p>
  </w:footnote>
  <w:footnote w:type="continuationNotice" w:id="1">
    <w:p w14:paraId="47647CB9" w14:textId="77777777" w:rsidR="00686A4B" w:rsidRDefault="00686A4B"/>
  </w:footnote>
  <w:footnote w:id="2">
    <w:p w14:paraId="69D33890" w14:textId="77777777" w:rsidR="00FE291F" w:rsidRPr="003C2C5E" w:rsidRDefault="00FE291F" w:rsidP="00825EF5">
      <w:pPr>
        <w:pStyle w:val="FootnoteText"/>
        <w:rPr>
          <w:lang w:val="en-AU"/>
        </w:rPr>
      </w:pPr>
      <w:r w:rsidRPr="0037182C">
        <w:rPr>
          <w:rStyle w:val="FootnoteReference"/>
          <w:sz w:val="18"/>
        </w:rPr>
        <w:footnoteRef/>
      </w:r>
      <w:r w:rsidRPr="0037182C">
        <w:rPr>
          <w:sz w:val="18"/>
        </w:rPr>
        <w:t xml:space="preserve"> </w:t>
      </w:r>
      <w:hyperlink r:id="rId1" w:history="1">
        <w:r w:rsidRPr="0037182C">
          <w:rPr>
            <w:rStyle w:val="Hyperlink"/>
            <w:sz w:val="18"/>
          </w:rPr>
          <w:t>http://www.foodstandards.gov.au/code/microbiollimits/Pages/Review-of-microbiological-criteria-(second-stage).aspx</w:t>
        </w:r>
      </w:hyperlink>
      <w:r w:rsidRPr="0037182C">
        <w:rPr>
          <w:sz w:val="18"/>
        </w:rPr>
        <w:t xml:space="preserve"> </w:t>
      </w:r>
    </w:p>
  </w:footnote>
  <w:footnote w:id="3">
    <w:p w14:paraId="21D03F8E" w14:textId="218A9D09" w:rsidR="00FE291F" w:rsidRPr="0037182C" w:rsidRDefault="00FE291F">
      <w:pPr>
        <w:pStyle w:val="FootnoteText"/>
        <w:rPr>
          <w:sz w:val="18"/>
          <w:lang w:val="en-AU"/>
        </w:rPr>
      </w:pPr>
      <w:r w:rsidRPr="0037182C">
        <w:rPr>
          <w:rStyle w:val="FootnoteReference"/>
          <w:sz w:val="18"/>
        </w:rPr>
        <w:footnoteRef/>
      </w:r>
      <w:r w:rsidRPr="0037182C">
        <w:rPr>
          <w:sz w:val="18"/>
        </w:rPr>
        <w:t xml:space="preserve"> </w:t>
      </w:r>
      <w:hyperlink r:id="rId2" w:history="1">
        <w:r w:rsidRPr="0037182C">
          <w:rPr>
            <w:rStyle w:val="Hyperlink"/>
            <w:sz w:val="18"/>
          </w:rPr>
          <w:t>http://www.foodstandards.gov.au/code/microbiollimits/Pages/Review-of-microbiological-criteria-(second-stage).aspx</w:t>
        </w:r>
      </w:hyperlink>
      <w:r w:rsidRPr="0037182C">
        <w:rPr>
          <w:sz w:val="18"/>
        </w:rPr>
        <w:t xml:space="preserve"> </w:t>
      </w:r>
    </w:p>
  </w:footnote>
  <w:footnote w:id="4">
    <w:p w14:paraId="403EA6F7" w14:textId="77777777" w:rsidR="00FE291F" w:rsidRPr="0037182C" w:rsidRDefault="00FE291F" w:rsidP="006F79EF">
      <w:pPr>
        <w:pStyle w:val="FootnoteText"/>
        <w:rPr>
          <w:sz w:val="22"/>
          <w:szCs w:val="22"/>
        </w:rPr>
      </w:pPr>
      <w:r w:rsidRPr="0037182C">
        <w:rPr>
          <w:rStyle w:val="FootnoteReference"/>
          <w:sz w:val="18"/>
          <w:szCs w:val="22"/>
        </w:rPr>
        <w:footnoteRef/>
      </w:r>
      <w:r w:rsidRPr="0037182C">
        <w:rPr>
          <w:sz w:val="18"/>
          <w:szCs w:val="22"/>
        </w:rPr>
        <w:t xml:space="preserve"> </w:t>
      </w:r>
      <w:hyperlink r:id="rId3" w:history="1">
        <w:r w:rsidRPr="0037182C">
          <w:rPr>
            <w:rStyle w:val="Hyperlink"/>
            <w:sz w:val="18"/>
            <w:szCs w:val="22"/>
          </w:rPr>
          <w:t>http://www.foodstandards.gov.au/code/microbiollimits/Pages/Review-of-microbiological-criteria-(second-stage).aspx</w:t>
        </w:r>
      </w:hyperlink>
      <w:r w:rsidRPr="0037182C">
        <w:rPr>
          <w:sz w:val="18"/>
          <w:szCs w:val="22"/>
        </w:rPr>
        <w:t xml:space="preserve"> </w:t>
      </w:r>
    </w:p>
  </w:footnote>
  <w:footnote w:id="5">
    <w:p w14:paraId="0AA47627" w14:textId="77777777" w:rsidR="00FE291F" w:rsidRPr="00056B04" w:rsidRDefault="00FE291F" w:rsidP="008828D9">
      <w:pPr>
        <w:pStyle w:val="Footnote"/>
        <w:rPr>
          <w:szCs w:val="18"/>
          <w:lang w:val="en-AU"/>
        </w:rPr>
      </w:pPr>
      <w:r w:rsidRPr="00056B04">
        <w:rPr>
          <w:rStyle w:val="FootnoteReference"/>
          <w:szCs w:val="18"/>
        </w:rPr>
        <w:footnoteRef/>
      </w:r>
      <w:r w:rsidRPr="00056B04">
        <w:rPr>
          <w:szCs w:val="18"/>
        </w:rPr>
        <w:t xml:space="preserve"> </w:t>
      </w:r>
      <w:r w:rsidRPr="00056B04">
        <w:rPr>
          <w:szCs w:val="18"/>
          <w:lang w:val="en-AU"/>
        </w:rPr>
        <w:t>Now known as the</w:t>
      </w:r>
      <w:r w:rsidRPr="00056B04">
        <w:rPr>
          <w:rFonts w:cs="Helvetica"/>
          <w:szCs w:val="18"/>
          <w:lang w:val="en-AU"/>
        </w:rPr>
        <w:t xml:space="preserve"> 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3C3D" w14:textId="77777777" w:rsidR="00FE291F" w:rsidRDefault="00FE291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12ED8"/>
    <w:multiLevelType w:val="hybridMultilevel"/>
    <w:tmpl w:val="998C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5F0E28"/>
    <w:multiLevelType w:val="hybridMultilevel"/>
    <w:tmpl w:val="D32C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A5F65"/>
    <w:multiLevelType w:val="hybridMultilevel"/>
    <w:tmpl w:val="CBDE9934"/>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5">
    <w:nsid w:val="121C6DD2"/>
    <w:multiLevelType w:val="hybridMultilevel"/>
    <w:tmpl w:val="AFC0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E7E98"/>
    <w:multiLevelType w:val="hybridMultilevel"/>
    <w:tmpl w:val="2B26B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B82BCE"/>
    <w:multiLevelType w:val="hybridMultilevel"/>
    <w:tmpl w:val="6E58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B1206"/>
    <w:multiLevelType w:val="hybridMultilevel"/>
    <w:tmpl w:val="5DE6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A03D12"/>
    <w:multiLevelType w:val="hybridMultilevel"/>
    <w:tmpl w:val="22B0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B16981"/>
    <w:multiLevelType w:val="hybridMultilevel"/>
    <w:tmpl w:val="966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5F668E3"/>
    <w:multiLevelType w:val="hybridMultilevel"/>
    <w:tmpl w:val="38BE3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94E241D"/>
    <w:multiLevelType w:val="hybridMultilevel"/>
    <w:tmpl w:val="65B0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A12D0"/>
    <w:multiLevelType w:val="hybridMultilevel"/>
    <w:tmpl w:val="F9B64406"/>
    <w:lvl w:ilvl="0" w:tplc="129A24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274BD8"/>
    <w:multiLevelType w:val="hybridMultilevel"/>
    <w:tmpl w:val="AF2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C66FF0"/>
    <w:multiLevelType w:val="hybridMultilevel"/>
    <w:tmpl w:val="34F4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EF38DF"/>
    <w:multiLevelType w:val="hybridMultilevel"/>
    <w:tmpl w:val="B122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DA5B15"/>
    <w:multiLevelType w:val="hybridMultilevel"/>
    <w:tmpl w:val="13E0F956"/>
    <w:lvl w:ilvl="0" w:tplc="059ED23E">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5DC06B3"/>
    <w:multiLevelType w:val="hybridMultilevel"/>
    <w:tmpl w:val="4558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F72B2D"/>
    <w:multiLevelType w:val="hybridMultilevel"/>
    <w:tmpl w:val="4654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FA4731"/>
    <w:multiLevelType w:val="hybridMultilevel"/>
    <w:tmpl w:val="D124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nsid w:val="7716620E"/>
    <w:multiLevelType w:val="hybridMultilevel"/>
    <w:tmpl w:val="043E0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733819"/>
    <w:multiLevelType w:val="hybridMultilevel"/>
    <w:tmpl w:val="45F6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00305"/>
    <w:multiLevelType w:val="hybridMultilevel"/>
    <w:tmpl w:val="EA8C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DC0A52"/>
    <w:multiLevelType w:val="hybridMultilevel"/>
    <w:tmpl w:val="48B4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0"/>
  </w:num>
  <w:num w:numId="4">
    <w:abstractNumId w:val="2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6"/>
  </w:num>
  <w:num w:numId="8">
    <w:abstractNumId w:val="20"/>
  </w:num>
  <w:num w:numId="9">
    <w:abstractNumId w:val="28"/>
  </w:num>
  <w:num w:numId="10">
    <w:abstractNumId w:val="13"/>
  </w:num>
  <w:num w:numId="11">
    <w:abstractNumId w:val="6"/>
  </w:num>
  <w:num w:numId="12">
    <w:abstractNumId w:val="27"/>
  </w:num>
  <w:num w:numId="13">
    <w:abstractNumId w:val="2"/>
  </w:num>
  <w:num w:numId="14">
    <w:abstractNumId w:val="5"/>
  </w:num>
  <w:num w:numId="15">
    <w:abstractNumId w:val="10"/>
  </w:num>
  <w:num w:numId="16">
    <w:abstractNumId w:val="3"/>
  </w:num>
  <w:num w:numId="17">
    <w:abstractNumId w:val="14"/>
  </w:num>
  <w:num w:numId="18">
    <w:abstractNumId w:val="25"/>
  </w:num>
  <w:num w:numId="19">
    <w:abstractNumId w:val="19"/>
  </w:num>
  <w:num w:numId="20">
    <w:abstractNumId w:val="17"/>
  </w:num>
  <w:num w:numId="21">
    <w:abstractNumId w:val="11"/>
  </w:num>
  <w:num w:numId="22">
    <w:abstractNumId w:val="8"/>
  </w:num>
  <w:num w:numId="23">
    <w:abstractNumId w:val="7"/>
  </w:num>
  <w:num w:numId="24">
    <w:abstractNumId w:val="30"/>
  </w:num>
  <w:num w:numId="25">
    <w:abstractNumId w:val="24"/>
  </w:num>
  <w:num w:numId="26">
    <w:abstractNumId w:val="23"/>
  </w:num>
  <w:num w:numId="27">
    <w:abstractNumId w:val="21"/>
  </w:num>
  <w:num w:numId="28">
    <w:abstractNumId w:val="4"/>
  </w:num>
  <w:num w:numId="29">
    <w:abstractNumId w:val="15"/>
  </w:num>
  <w:num w:numId="30">
    <w:abstractNumId w:val="12"/>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22E0"/>
    <w:rsid w:val="00013EB6"/>
    <w:rsid w:val="00016CB6"/>
    <w:rsid w:val="00022DBC"/>
    <w:rsid w:val="00033730"/>
    <w:rsid w:val="00034F87"/>
    <w:rsid w:val="00035FF3"/>
    <w:rsid w:val="000427B2"/>
    <w:rsid w:val="00044147"/>
    <w:rsid w:val="00044CBF"/>
    <w:rsid w:val="00051021"/>
    <w:rsid w:val="00051ED9"/>
    <w:rsid w:val="00056B04"/>
    <w:rsid w:val="00057181"/>
    <w:rsid w:val="00057B5F"/>
    <w:rsid w:val="00064B2D"/>
    <w:rsid w:val="00065F1F"/>
    <w:rsid w:val="0007466A"/>
    <w:rsid w:val="000761A4"/>
    <w:rsid w:val="00076D33"/>
    <w:rsid w:val="000778D6"/>
    <w:rsid w:val="00091CC2"/>
    <w:rsid w:val="00093C17"/>
    <w:rsid w:val="000A27E9"/>
    <w:rsid w:val="000A2B69"/>
    <w:rsid w:val="000A3D8B"/>
    <w:rsid w:val="000A5DF8"/>
    <w:rsid w:val="000B6AF2"/>
    <w:rsid w:val="000B7DE4"/>
    <w:rsid w:val="000C1B4A"/>
    <w:rsid w:val="000C261B"/>
    <w:rsid w:val="000C76B5"/>
    <w:rsid w:val="000D295F"/>
    <w:rsid w:val="000D6FD4"/>
    <w:rsid w:val="000E0800"/>
    <w:rsid w:val="000E0AE4"/>
    <w:rsid w:val="000E3DBC"/>
    <w:rsid w:val="000F4811"/>
    <w:rsid w:val="001052F6"/>
    <w:rsid w:val="00113715"/>
    <w:rsid w:val="00113CE3"/>
    <w:rsid w:val="00117522"/>
    <w:rsid w:val="00122257"/>
    <w:rsid w:val="001333EB"/>
    <w:rsid w:val="00141193"/>
    <w:rsid w:val="00145425"/>
    <w:rsid w:val="001542D8"/>
    <w:rsid w:val="00162365"/>
    <w:rsid w:val="00163FBC"/>
    <w:rsid w:val="001709A3"/>
    <w:rsid w:val="001753E6"/>
    <w:rsid w:val="00180C41"/>
    <w:rsid w:val="00182C4C"/>
    <w:rsid w:val="00185AD8"/>
    <w:rsid w:val="001945E5"/>
    <w:rsid w:val="00197D8D"/>
    <w:rsid w:val="001A1A75"/>
    <w:rsid w:val="001A54EE"/>
    <w:rsid w:val="001A7E9A"/>
    <w:rsid w:val="001B74F3"/>
    <w:rsid w:val="001B7BD2"/>
    <w:rsid w:val="001C27A3"/>
    <w:rsid w:val="001C282C"/>
    <w:rsid w:val="001C3D2F"/>
    <w:rsid w:val="001C3E02"/>
    <w:rsid w:val="001C5295"/>
    <w:rsid w:val="001C646D"/>
    <w:rsid w:val="001D58D4"/>
    <w:rsid w:val="001E09FA"/>
    <w:rsid w:val="001E68AA"/>
    <w:rsid w:val="001F188B"/>
    <w:rsid w:val="001F5B9C"/>
    <w:rsid w:val="001F62AB"/>
    <w:rsid w:val="001F74B2"/>
    <w:rsid w:val="00202DE6"/>
    <w:rsid w:val="00203540"/>
    <w:rsid w:val="00213121"/>
    <w:rsid w:val="0021334F"/>
    <w:rsid w:val="00217B9D"/>
    <w:rsid w:val="00221D07"/>
    <w:rsid w:val="00227E4A"/>
    <w:rsid w:val="00240A32"/>
    <w:rsid w:val="00242F16"/>
    <w:rsid w:val="002432EE"/>
    <w:rsid w:val="0024582E"/>
    <w:rsid w:val="00253D84"/>
    <w:rsid w:val="002547EF"/>
    <w:rsid w:val="00256D65"/>
    <w:rsid w:val="002629DC"/>
    <w:rsid w:val="00264226"/>
    <w:rsid w:val="002700BC"/>
    <w:rsid w:val="00271F00"/>
    <w:rsid w:val="00273A80"/>
    <w:rsid w:val="0027513D"/>
    <w:rsid w:val="00276026"/>
    <w:rsid w:val="002840C6"/>
    <w:rsid w:val="002851C8"/>
    <w:rsid w:val="0029204E"/>
    <w:rsid w:val="00294BAD"/>
    <w:rsid w:val="0029631C"/>
    <w:rsid w:val="002A0194"/>
    <w:rsid w:val="002A5F8B"/>
    <w:rsid w:val="002A69D4"/>
    <w:rsid w:val="002A7F6C"/>
    <w:rsid w:val="002B0D8E"/>
    <w:rsid w:val="002D3E1C"/>
    <w:rsid w:val="002D44C8"/>
    <w:rsid w:val="002D5769"/>
    <w:rsid w:val="002D6809"/>
    <w:rsid w:val="002E086A"/>
    <w:rsid w:val="002E19FF"/>
    <w:rsid w:val="002F6488"/>
    <w:rsid w:val="003021AA"/>
    <w:rsid w:val="00310E84"/>
    <w:rsid w:val="003139D3"/>
    <w:rsid w:val="00315A71"/>
    <w:rsid w:val="003213F9"/>
    <w:rsid w:val="00323DBF"/>
    <w:rsid w:val="00324150"/>
    <w:rsid w:val="003309A8"/>
    <w:rsid w:val="00332537"/>
    <w:rsid w:val="00332B12"/>
    <w:rsid w:val="0033470E"/>
    <w:rsid w:val="00336711"/>
    <w:rsid w:val="00347935"/>
    <w:rsid w:val="00350DBD"/>
    <w:rsid w:val="00351927"/>
    <w:rsid w:val="00351B07"/>
    <w:rsid w:val="0036268A"/>
    <w:rsid w:val="00364841"/>
    <w:rsid w:val="0037182C"/>
    <w:rsid w:val="00371B29"/>
    <w:rsid w:val="00372182"/>
    <w:rsid w:val="00374103"/>
    <w:rsid w:val="0037520F"/>
    <w:rsid w:val="003904C1"/>
    <w:rsid w:val="00391769"/>
    <w:rsid w:val="003953E1"/>
    <w:rsid w:val="003956B3"/>
    <w:rsid w:val="003A68BE"/>
    <w:rsid w:val="003A7725"/>
    <w:rsid w:val="003B2F4A"/>
    <w:rsid w:val="003B3C9D"/>
    <w:rsid w:val="003B78E0"/>
    <w:rsid w:val="003C0CE6"/>
    <w:rsid w:val="003C2867"/>
    <w:rsid w:val="003C2C5E"/>
    <w:rsid w:val="003C30E4"/>
    <w:rsid w:val="003C4969"/>
    <w:rsid w:val="003D69F8"/>
    <w:rsid w:val="003E35DF"/>
    <w:rsid w:val="003E3F6F"/>
    <w:rsid w:val="003E41D5"/>
    <w:rsid w:val="003E46BA"/>
    <w:rsid w:val="003E7D22"/>
    <w:rsid w:val="003F39A7"/>
    <w:rsid w:val="003F74C1"/>
    <w:rsid w:val="00405B1A"/>
    <w:rsid w:val="00407241"/>
    <w:rsid w:val="0040761E"/>
    <w:rsid w:val="00407DF4"/>
    <w:rsid w:val="00410C76"/>
    <w:rsid w:val="00411907"/>
    <w:rsid w:val="0041193E"/>
    <w:rsid w:val="00413CA8"/>
    <w:rsid w:val="0041598E"/>
    <w:rsid w:val="00417EE3"/>
    <w:rsid w:val="004207EB"/>
    <w:rsid w:val="00422C48"/>
    <w:rsid w:val="00435FA5"/>
    <w:rsid w:val="004365ED"/>
    <w:rsid w:val="00436B8D"/>
    <w:rsid w:val="00437276"/>
    <w:rsid w:val="00442B70"/>
    <w:rsid w:val="00444BA3"/>
    <w:rsid w:val="0044766F"/>
    <w:rsid w:val="00447E67"/>
    <w:rsid w:val="0045556F"/>
    <w:rsid w:val="0045626D"/>
    <w:rsid w:val="00456B54"/>
    <w:rsid w:val="00456EE9"/>
    <w:rsid w:val="00464643"/>
    <w:rsid w:val="004646F8"/>
    <w:rsid w:val="004842B1"/>
    <w:rsid w:val="00486793"/>
    <w:rsid w:val="004A2037"/>
    <w:rsid w:val="004A3685"/>
    <w:rsid w:val="004B681D"/>
    <w:rsid w:val="004C20E4"/>
    <w:rsid w:val="004C2CE7"/>
    <w:rsid w:val="004D187E"/>
    <w:rsid w:val="004D30A6"/>
    <w:rsid w:val="004D4FA7"/>
    <w:rsid w:val="004D576A"/>
    <w:rsid w:val="004D5EE6"/>
    <w:rsid w:val="004F37DC"/>
    <w:rsid w:val="004F4F98"/>
    <w:rsid w:val="004F69F6"/>
    <w:rsid w:val="004F79AC"/>
    <w:rsid w:val="005017CF"/>
    <w:rsid w:val="00505B8D"/>
    <w:rsid w:val="00512290"/>
    <w:rsid w:val="0051633F"/>
    <w:rsid w:val="005207D8"/>
    <w:rsid w:val="00521F70"/>
    <w:rsid w:val="00527873"/>
    <w:rsid w:val="0053464E"/>
    <w:rsid w:val="005358B0"/>
    <w:rsid w:val="00537EFB"/>
    <w:rsid w:val="0054768B"/>
    <w:rsid w:val="00553969"/>
    <w:rsid w:val="00562917"/>
    <w:rsid w:val="00564B84"/>
    <w:rsid w:val="00567AF1"/>
    <w:rsid w:val="00580EC5"/>
    <w:rsid w:val="0058402A"/>
    <w:rsid w:val="00585BEF"/>
    <w:rsid w:val="00586228"/>
    <w:rsid w:val="00586B30"/>
    <w:rsid w:val="00587B65"/>
    <w:rsid w:val="0059227F"/>
    <w:rsid w:val="0059498B"/>
    <w:rsid w:val="005A3A03"/>
    <w:rsid w:val="005B01E7"/>
    <w:rsid w:val="005B615C"/>
    <w:rsid w:val="005B6AF4"/>
    <w:rsid w:val="005C04CB"/>
    <w:rsid w:val="005C571F"/>
    <w:rsid w:val="005C71BA"/>
    <w:rsid w:val="005D16AD"/>
    <w:rsid w:val="005D1986"/>
    <w:rsid w:val="005D1A61"/>
    <w:rsid w:val="005D72E1"/>
    <w:rsid w:val="005D7FBF"/>
    <w:rsid w:val="005E2F53"/>
    <w:rsid w:val="005E6E16"/>
    <w:rsid w:val="005F400E"/>
    <w:rsid w:val="005F6CC6"/>
    <w:rsid w:val="005F7342"/>
    <w:rsid w:val="006000BA"/>
    <w:rsid w:val="00603A08"/>
    <w:rsid w:val="006066BC"/>
    <w:rsid w:val="00606C88"/>
    <w:rsid w:val="00610A3C"/>
    <w:rsid w:val="00613777"/>
    <w:rsid w:val="00613B4D"/>
    <w:rsid w:val="00617FCF"/>
    <w:rsid w:val="00626B79"/>
    <w:rsid w:val="00627F48"/>
    <w:rsid w:val="006334AF"/>
    <w:rsid w:val="00633ACA"/>
    <w:rsid w:val="006342E0"/>
    <w:rsid w:val="00642A47"/>
    <w:rsid w:val="00646FDD"/>
    <w:rsid w:val="006528AF"/>
    <w:rsid w:val="00654071"/>
    <w:rsid w:val="00663FCF"/>
    <w:rsid w:val="006652A2"/>
    <w:rsid w:val="00665E82"/>
    <w:rsid w:val="00677A75"/>
    <w:rsid w:val="00677C8C"/>
    <w:rsid w:val="00681754"/>
    <w:rsid w:val="00681D53"/>
    <w:rsid w:val="00683E69"/>
    <w:rsid w:val="00684833"/>
    <w:rsid w:val="006852A9"/>
    <w:rsid w:val="00686A4B"/>
    <w:rsid w:val="00686E16"/>
    <w:rsid w:val="006937FF"/>
    <w:rsid w:val="006965BF"/>
    <w:rsid w:val="006A48A7"/>
    <w:rsid w:val="006A6606"/>
    <w:rsid w:val="006A69FC"/>
    <w:rsid w:val="006B4BA1"/>
    <w:rsid w:val="006C28E2"/>
    <w:rsid w:val="006C3E65"/>
    <w:rsid w:val="006C5CF5"/>
    <w:rsid w:val="006C601F"/>
    <w:rsid w:val="006F17A0"/>
    <w:rsid w:val="006F4A82"/>
    <w:rsid w:val="006F79EF"/>
    <w:rsid w:val="00700239"/>
    <w:rsid w:val="0070373B"/>
    <w:rsid w:val="00707E72"/>
    <w:rsid w:val="007113EB"/>
    <w:rsid w:val="00712A81"/>
    <w:rsid w:val="0071595D"/>
    <w:rsid w:val="00720A29"/>
    <w:rsid w:val="0072103E"/>
    <w:rsid w:val="0072150F"/>
    <w:rsid w:val="00724FA4"/>
    <w:rsid w:val="00725C06"/>
    <w:rsid w:val="00726C2F"/>
    <w:rsid w:val="00730800"/>
    <w:rsid w:val="007368AB"/>
    <w:rsid w:val="00737902"/>
    <w:rsid w:val="007401DA"/>
    <w:rsid w:val="00741EFE"/>
    <w:rsid w:val="00744C5F"/>
    <w:rsid w:val="007602AA"/>
    <w:rsid w:val="007652EF"/>
    <w:rsid w:val="00772BDC"/>
    <w:rsid w:val="00773033"/>
    <w:rsid w:val="00780792"/>
    <w:rsid w:val="00796BAB"/>
    <w:rsid w:val="00797C80"/>
    <w:rsid w:val="007A44B4"/>
    <w:rsid w:val="007A7D3D"/>
    <w:rsid w:val="007B1B85"/>
    <w:rsid w:val="007B225D"/>
    <w:rsid w:val="007B5F39"/>
    <w:rsid w:val="007C174F"/>
    <w:rsid w:val="007C1C64"/>
    <w:rsid w:val="007C4B66"/>
    <w:rsid w:val="007D0292"/>
    <w:rsid w:val="007D1910"/>
    <w:rsid w:val="007D40A1"/>
    <w:rsid w:val="007E37F1"/>
    <w:rsid w:val="007E48BC"/>
    <w:rsid w:val="007E4DFF"/>
    <w:rsid w:val="007E79F7"/>
    <w:rsid w:val="007F0F03"/>
    <w:rsid w:val="007F1892"/>
    <w:rsid w:val="007F2AF1"/>
    <w:rsid w:val="007F3630"/>
    <w:rsid w:val="008024BE"/>
    <w:rsid w:val="00807559"/>
    <w:rsid w:val="008145DA"/>
    <w:rsid w:val="00820D45"/>
    <w:rsid w:val="00825EF5"/>
    <w:rsid w:val="008371E7"/>
    <w:rsid w:val="008428A8"/>
    <w:rsid w:val="00843691"/>
    <w:rsid w:val="008450BC"/>
    <w:rsid w:val="00846470"/>
    <w:rsid w:val="00851A60"/>
    <w:rsid w:val="008525E0"/>
    <w:rsid w:val="0085334B"/>
    <w:rsid w:val="00867651"/>
    <w:rsid w:val="00867B23"/>
    <w:rsid w:val="00870214"/>
    <w:rsid w:val="00870493"/>
    <w:rsid w:val="00870C1D"/>
    <w:rsid w:val="008746E4"/>
    <w:rsid w:val="00876515"/>
    <w:rsid w:val="00880912"/>
    <w:rsid w:val="008828D9"/>
    <w:rsid w:val="00885C51"/>
    <w:rsid w:val="00885EB0"/>
    <w:rsid w:val="008866CE"/>
    <w:rsid w:val="0089264A"/>
    <w:rsid w:val="00896B85"/>
    <w:rsid w:val="008A16A5"/>
    <w:rsid w:val="008A22BE"/>
    <w:rsid w:val="008A2D20"/>
    <w:rsid w:val="008A305E"/>
    <w:rsid w:val="008A3221"/>
    <w:rsid w:val="008A35FB"/>
    <w:rsid w:val="008B0075"/>
    <w:rsid w:val="008B1EA0"/>
    <w:rsid w:val="008C0E7A"/>
    <w:rsid w:val="008C1B36"/>
    <w:rsid w:val="008C61BF"/>
    <w:rsid w:val="008D06C6"/>
    <w:rsid w:val="008D07F6"/>
    <w:rsid w:val="008E468C"/>
    <w:rsid w:val="008E6250"/>
    <w:rsid w:val="008F4C67"/>
    <w:rsid w:val="00902AF6"/>
    <w:rsid w:val="009049BC"/>
    <w:rsid w:val="00905156"/>
    <w:rsid w:val="00914030"/>
    <w:rsid w:val="0091415F"/>
    <w:rsid w:val="009174D2"/>
    <w:rsid w:val="00920249"/>
    <w:rsid w:val="00924C80"/>
    <w:rsid w:val="00932F14"/>
    <w:rsid w:val="00933F23"/>
    <w:rsid w:val="0094247F"/>
    <w:rsid w:val="00942D60"/>
    <w:rsid w:val="00944BA4"/>
    <w:rsid w:val="009465C5"/>
    <w:rsid w:val="0095379E"/>
    <w:rsid w:val="00955284"/>
    <w:rsid w:val="0096138F"/>
    <w:rsid w:val="0096523B"/>
    <w:rsid w:val="00966EE3"/>
    <w:rsid w:val="00967AC2"/>
    <w:rsid w:val="009722D5"/>
    <w:rsid w:val="00972D06"/>
    <w:rsid w:val="00973CD1"/>
    <w:rsid w:val="009A2C36"/>
    <w:rsid w:val="009A391C"/>
    <w:rsid w:val="009A4602"/>
    <w:rsid w:val="009A50F2"/>
    <w:rsid w:val="009A7206"/>
    <w:rsid w:val="009B72B9"/>
    <w:rsid w:val="009C085F"/>
    <w:rsid w:val="009C154C"/>
    <w:rsid w:val="009C4322"/>
    <w:rsid w:val="009C6546"/>
    <w:rsid w:val="009D5B45"/>
    <w:rsid w:val="009D640F"/>
    <w:rsid w:val="009D790B"/>
    <w:rsid w:val="009E0A61"/>
    <w:rsid w:val="009E10D4"/>
    <w:rsid w:val="009E3010"/>
    <w:rsid w:val="009F007E"/>
    <w:rsid w:val="009F7065"/>
    <w:rsid w:val="00A01852"/>
    <w:rsid w:val="00A06BC2"/>
    <w:rsid w:val="00A0732D"/>
    <w:rsid w:val="00A07F6D"/>
    <w:rsid w:val="00A10883"/>
    <w:rsid w:val="00A11D2B"/>
    <w:rsid w:val="00A12B44"/>
    <w:rsid w:val="00A3335F"/>
    <w:rsid w:val="00A3600D"/>
    <w:rsid w:val="00A3700A"/>
    <w:rsid w:val="00A40193"/>
    <w:rsid w:val="00A4175D"/>
    <w:rsid w:val="00A45E63"/>
    <w:rsid w:val="00A50A39"/>
    <w:rsid w:val="00A51BE9"/>
    <w:rsid w:val="00A54934"/>
    <w:rsid w:val="00A56DC7"/>
    <w:rsid w:val="00A56E34"/>
    <w:rsid w:val="00A70861"/>
    <w:rsid w:val="00A73858"/>
    <w:rsid w:val="00A74FD1"/>
    <w:rsid w:val="00A756AD"/>
    <w:rsid w:val="00A83B95"/>
    <w:rsid w:val="00A84A58"/>
    <w:rsid w:val="00A91DF1"/>
    <w:rsid w:val="00AB0275"/>
    <w:rsid w:val="00AC6698"/>
    <w:rsid w:val="00AC74CB"/>
    <w:rsid w:val="00AD22F9"/>
    <w:rsid w:val="00AD6978"/>
    <w:rsid w:val="00AD6CEA"/>
    <w:rsid w:val="00AD7A3D"/>
    <w:rsid w:val="00AE2E35"/>
    <w:rsid w:val="00AE4E6E"/>
    <w:rsid w:val="00AE766D"/>
    <w:rsid w:val="00AF06FC"/>
    <w:rsid w:val="00AF13D7"/>
    <w:rsid w:val="00AF3391"/>
    <w:rsid w:val="00AF387F"/>
    <w:rsid w:val="00AF602C"/>
    <w:rsid w:val="00B00E7F"/>
    <w:rsid w:val="00B05605"/>
    <w:rsid w:val="00B119DA"/>
    <w:rsid w:val="00B173DA"/>
    <w:rsid w:val="00B21DCC"/>
    <w:rsid w:val="00B24B5E"/>
    <w:rsid w:val="00B25F37"/>
    <w:rsid w:val="00B359DD"/>
    <w:rsid w:val="00B41294"/>
    <w:rsid w:val="00B42C71"/>
    <w:rsid w:val="00B44422"/>
    <w:rsid w:val="00B46EA0"/>
    <w:rsid w:val="00B51E03"/>
    <w:rsid w:val="00B65710"/>
    <w:rsid w:val="00B7058D"/>
    <w:rsid w:val="00B70BE7"/>
    <w:rsid w:val="00B71F51"/>
    <w:rsid w:val="00B731D3"/>
    <w:rsid w:val="00B755FB"/>
    <w:rsid w:val="00B75BFA"/>
    <w:rsid w:val="00B839A3"/>
    <w:rsid w:val="00B853D2"/>
    <w:rsid w:val="00B902BD"/>
    <w:rsid w:val="00B90EED"/>
    <w:rsid w:val="00B91CB6"/>
    <w:rsid w:val="00B93CAE"/>
    <w:rsid w:val="00B9694C"/>
    <w:rsid w:val="00BA24E2"/>
    <w:rsid w:val="00BA39D3"/>
    <w:rsid w:val="00BA6AB5"/>
    <w:rsid w:val="00BB14C2"/>
    <w:rsid w:val="00BB5930"/>
    <w:rsid w:val="00BC17C2"/>
    <w:rsid w:val="00BD1CF9"/>
    <w:rsid w:val="00BD2A39"/>
    <w:rsid w:val="00BD2E80"/>
    <w:rsid w:val="00BE11B8"/>
    <w:rsid w:val="00BE3818"/>
    <w:rsid w:val="00BF13E3"/>
    <w:rsid w:val="00BF3DA7"/>
    <w:rsid w:val="00BF70AB"/>
    <w:rsid w:val="00BF7FF0"/>
    <w:rsid w:val="00C06153"/>
    <w:rsid w:val="00C12502"/>
    <w:rsid w:val="00C1266C"/>
    <w:rsid w:val="00C14FD2"/>
    <w:rsid w:val="00C23C3C"/>
    <w:rsid w:val="00C27023"/>
    <w:rsid w:val="00C36578"/>
    <w:rsid w:val="00C366A6"/>
    <w:rsid w:val="00C366D2"/>
    <w:rsid w:val="00C37832"/>
    <w:rsid w:val="00C40AA5"/>
    <w:rsid w:val="00C41277"/>
    <w:rsid w:val="00C4465F"/>
    <w:rsid w:val="00C45419"/>
    <w:rsid w:val="00C457F7"/>
    <w:rsid w:val="00C46B1D"/>
    <w:rsid w:val="00C46F70"/>
    <w:rsid w:val="00C476D0"/>
    <w:rsid w:val="00C47A6F"/>
    <w:rsid w:val="00C523BB"/>
    <w:rsid w:val="00C56021"/>
    <w:rsid w:val="00C56F71"/>
    <w:rsid w:val="00C61460"/>
    <w:rsid w:val="00C62129"/>
    <w:rsid w:val="00C63580"/>
    <w:rsid w:val="00C747D3"/>
    <w:rsid w:val="00C7593F"/>
    <w:rsid w:val="00C836E3"/>
    <w:rsid w:val="00C86577"/>
    <w:rsid w:val="00C86664"/>
    <w:rsid w:val="00C917E6"/>
    <w:rsid w:val="00C92E07"/>
    <w:rsid w:val="00C94942"/>
    <w:rsid w:val="00C95A55"/>
    <w:rsid w:val="00C96868"/>
    <w:rsid w:val="00C96A50"/>
    <w:rsid w:val="00CA0416"/>
    <w:rsid w:val="00CA3C65"/>
    <w:rsid w:val="00CA7F35"/>
    <w:rsid w:val="00CB08A7"/>
    <w:rsid w:val="00CB1375"/>
    <w:rsid w:val="00CC2D4D"/>
    <w:rsid w:val="00CC36E7"/>
    <w:rsid w:val="00CC560B"/>
    <w:rsid w:val="00CC75E2"/>
    <w:rsid w:val="00CD1BA4"/>
    <w:rsid w:val="00CD46EB"/>
    <w:rsid w:val="00CD776B"/>
    <w:rsid w:val="00CD7EBF"/>
    <w:rsid w:val="00CE0AEB"/>
    <w:rsid w:val="00CE25C8"/>
    <w:rsid w:val="00CE4EE2"/>
    <w:rsid w:val="00CF0C7A"/>
    <w:rsid w:val="00D04529"/>
    <w:rsid w:val="00D056F1"/>
    <w:rsid w:val="00D062E4"/>
    <w:rsid w:val="00D11171"/>
    <w:rsid w:val="00D14405"/>
    <w:rsid w:val="00D14ADE"/>
    <w:rsid w:val="00D202B7"/>
    <w:rsid w:val="00D2071E"/>
    <w:rsid w:val="00D22F3C"/>
    <w:rsid w:val="00D23DB6"/>
    <w:rsid w:val="00D26814"/>
    <w:rsid w:val="00D3171B"/>
    <w:rsid w:val="00D339FC"/>
    <w:rsid w:val="00D33F56"/>
    <w:rsid w:val="00D34106"/>
    <w:rsid w:val="00D427D6"/>
    <w:rsid w:val="00D43FE6"/>
    <w:rsid w:val="00D51A95"/>
    <w:rsid w:val="00D541D1"/>
    <w:rsid w:val="00D60568"/>
    <w:rsid w:val="00D65652"/>
    <w:rsid w:val="00D70C7A"/>
    <w:rsid w:val="00D73931"/>
    <w:rsid w:val="00D73F28"/>
    <w:rsid w:val="00D81760"/>
    <w:rsid w:val="00D81D38"/>
    <w:rsid w:val="00D8470F"/>
    <w:rsid w:val="00D8471A"/>
    <w:rsid w:val="00D873BA"/>
    <w:rsid w:val="00D90F03"/>
    <w:rsid w:val="00D9175E"/>
    <w:rsid w:val="00DA10A8"/>
    <w:rsid w:val="00DA24D6"/>
    <w:rsid w:val="00DA2585"/>
    <w:rsid w:val="00DA4B57"/>
    <w:rsid w:val="00DB1E08"/>
    <w:rsid w:val="00DB2973"/>
    <w:rsid w:val="00DB324A"/>
    <w:rsid w:val="00DB7A08"/>
    <w:rsid w:val="00DC1B56"/>
    <w:rsid w:val="00DC2129"/>
    <w:rsid w:val="00DC3C72"/>
    <w:rsid w:val="00DC6570"/>
    <w:rsid w:val="00DC6BAB"/>
    <w:rsid w:val="00DD3C5E"/>
    <w:rsid w:val="00DD79E5"/>
    <w:rsid w:val="00DE2503"/>
    <w:rsid w:val="00DE6C9C"/>
    <w:rsid w:val="00DE79D9"/>
    <w:rsid w:val="00DF25C3"/>
    <w:rsid w:val="00E028C7"/>
    <w:rsid w:val="00E04062"/>
    <w:rsid w:val="00E04FFA"/>
    <w:rsid w:val="00E063C6"/>
    <w:rsid w:val="00E11AD0"/>
    <w:rsid w:val="00E162F1"/>
    <w:rsid w:val="00E2003B"/>
    <w:rsid w:val="00E203C2"/>
    <w:rsid w:val="00E24DE8"/>
    <w:rsid w:val="00E279D8"/>
    <w:rsid w:val="00E319B1"/>
    <w:rsid w:val="00E36CC6"/>
    <w:rsid w:val="00E40ED4"/>
    <w:rsid w:val="00E44E0D"/>
    <w:rsid w:val="00E520FE"/>
    <w:rsid w:val="00E52C13"/>
    <w:rsid w:val="00E5492F"/>
    <w:rsid w:val="00E62DEF"/>
    <w:rsid w:val="00E70A86"/>
    <w:rsid w:val="00E75054"/>
    <w:rsid w:val="00E751D6"/>
    <w:rsid w:val="00E76560"/>
    <w:rsid w:val="00E777EC"/>
    <w:rsid w:val="00E80B91"/>
    <w:rsid w:val="00E80FCD"/>
    <w:rsid w:val="00E81F6E"/>
    <w:rsid w:val="00E8233D"/>
    <w:rsid w:val="00E93C86"/>
    <w:rsid w:val="00EA7F2F"/>
    <w:rsid w:val="00EB0703"/>
    <w:rsid w:val="00EB0B4C"/>
    <w:rsid w:val="00EB6243"/>
    <w:rsid w:val="00EB6FFF"/>
    <w:rsid w:val="00EC00DE"/>
    <w:rsid w:val="00EC30E1"/>
    <w:rsid w:val="00EC6B57"/>
    <w:rsid w:val="00EC7A33"/>
    <w:rsid w:val="00ED172A"/>
    <w:rsid w:val="00EE0A23"/>
    <w:rsid w:val="00EE333F"/>
    <w:rsid w:val="00EE41FE"/>
    <w:rsid w:val="00EF7ECE"/>
    <w:rsid w:val="00F06833"/>
    <w:rsid w:val="00F0750B"/>
    <w:rsid w:val="00F14BEC"/>
    <w:rsid w:val="00F15E20"/>
    <w:rsid w:val="00F21397"/>
    <w:rsid w:val="00F225C5"/>
    <w:rsid w:val="00F240F4"/>
    <w:rsid w:val="00F2587A"/>
    <w:rsid w:val="00F33BB8"/>
    <w:rsid w:val="00F35337"/>
    <w:rsid w:val="00F367E7"/>
    <w:rsid w:val="00F3715D"/>
    <w:rsid w:val="00F420C8"/>
    <w:rsid w:val="00F4289A"/>
    <w:rsid w:val="00F42937"/>
    <w:rsid w:val="00F42A4C"/>
    <w:rsid w:val="00F439F5"/>
    <w:rsid w:val="00F4651D"/>
    <w:rsid w:val="00F5183A"/>
    <w:rsid w:val="00F53B04"/>
    <w:rsid w:val="00F604DE"/>
    <w:rsid w:val="00F64653"/>
    <w:rsid w:val="00F65DBA"/>
    <w:rsid w:val="00F81F3F"/>
    <w:rsid w:val="00F82A65"/>
    <w:rsid w:val="00F86C00"/>
    <w:rsid w:val="00F92762"/>
    <w:rsid w:val="00FB1533"/>
    <w:rsid w:val="00FB597A"/>
    <w:rsid w:val="00FB67A3"/>
    <w:rsid w:val="00FB7512"/>
    <w:rsid w:val="00FD2FBE"/>
    <w:rsid w:val="00FD7547"/>
    <w:rsid w:val="00FE291F"/>
    <w:rsid w:val="00FF3912"/>
    <w:rsid w:val="00FF5F5C"/>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F42937"/>
    <w:rPr>
      <w:rFonts w:ascii="Arial" w:hAnsi="Arial"/>
      <w:lang w:eastAsia="en-US" w:bidi="en-US"/>
    </w:rPr>
  </w:style>
  <w:style w:type="paragraph" w:styleId="ListParagraph">
    <w:name w:val="List Paragraph"/>
    <w:basedOn w:val="Normal"/>
    <w:uiPriority w:val="34"/>
    <w:qFormat/>
    <w:rsid w:val="00D9175E"/>
    <w:pPr>
      <w:widowControl/>
      <w:spacing w:after="160" w:line="259" w:lineRule="auto"/>
      <w:ind w:left="720"/>
      <w:contextualSpacing/>
    </w:pPr>
    <w:rPr>
      <w:rFonts w:asciiTheme="minorHAnsi" w:eastAsiaTheme="minorHAnsi" w:hAnsiTheme="minorHAnsi" w:cstheme="minorBidi"/>
      <w:szCs w:val="22"/>
      <w:lang w:val="en-US" w:bidi="ar-SA"/>
    </w:rPr>
  </w:style>
  <w:style w:type="paragraph" w:customStyle="1" w:styleId="Default">
    <w:name w:val="Default"/>
    <w:rsid w:val="004D187E"/>
    <w:pPr>
      <w:autoSpaceDE w:val="0"/>
      <w:autoSpaceDN w:val="0"/>
      <w:adjustRightInd w:val="0"/>
    </w:pPr>
    <w:rPr>
      <w:rFonts w:ascii="Symbol" w:hAnsi="Symbol" w:cs="Symbol"/>
      <w:color w:val="000000"/>
      <w:sz w:val="24"/>
      <w:szCs w:val="24"/>
    </w:rPr>
  </w:style>
  <w:style w:type="table" w:customStyle="1" w:styleId="TableGrid2">
    <w:name w:val="Table Grid2"/>
    <w:basedOn w:val="TableNormal"/>
    <w:next w:val="TableGrid"/>
    <w:uiPriority w:val="59"/>
    <w:rsid w:val="000C76B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Main">
    <w:name w:val="FSC_t_Main"/>
    <w:basedOn w:val="Normal"/>
    <w:rsid w:val="00EC6B57"/>
    <w:pPr>
      <w:tabs>
        <w:tab w:val="left" w:pos="1134"/>
      </w:tabs>
      <w:spacing w:before="120" w:after="120"/>
      <w:ind w:left="1701" w:hanging="1701"/>
    </w:pPr>
    <w:rPr>
      <w:rFonts w:cs="Arial"/>
      <w:iCs/>
      <w:sz w:val="20"/>
      <w:szCs w:val="22"/>
      <w:lang w:eastAsia="en-AU" w:bidi="ar-SA"/>
    </w:rPr>
  </w:style>
  <w:style w:type="paragraph" w:customStyle="1" w:styleId="FSCnatHeading">
    <w:name w:val="FSC_n_at_Heading"/>
    <w:basedOn w:val="FSCtMain"/>
    <w:qFormat/>
    <w:rsid w:val="00EC6B57"/>
    <w:pPr>
      <w:ind w:left="851" w:hanging="851"/>
    </w:pPr>
    <w:rPr>
      <w:sz w:val="16"/>
    </w:rPr>
  </w:style>
  <w:style w:type="paragraph" w:customStyle="1" w:styleId="FSCnMain">
    <w:name w:val="FSC_n_Main"/>
    <w:basedOn w:val="Normal"/>
    <w:qFormat/>
    <w:rsid w:val="00EC6B57"/>
    <w:pPr>
      <w:tabs>
        <w:tab w:val="left" w:pos="1701"/>
      </w:tabs>
      <w:spacing w:before="60" w:after="60"/>
      <w:ind w:left="2268" w:hanging="2268"/>
    </w:pPr>
    <w:rPr>
      <w:rFonts w:cs="Arial"/>
      <w:sz w:val="16"/>
      <w:szCs w:val="18"/>
      <w:lang w:eastAsia="en-AU" w:bidi="ar-SA"/>
    </w:rPr>
  </w:style>
  <w:style w:type="paragraph" w:customStyle="1" w:styleId="FSCtDefn">
    <w:name w:val="FSC_t_Defn"/>
    <w:basedOn w:val="FSCtMain"/>
    <w:rsid w:val="00EC6B57"/>
    <w:pPr>
      <w:ind w:firstLine="0"/>
    </w:pPr>
  </w:style>
  <w:style w:type="paragraph" w:customStyle="1" w:styleId="FSCtblh3">
    <w:name w:val="FSC_tbl_h3"/>
    <w:basedOn w:val="Normal"/>
    <w:next w:val="Normal"/>
    <w:rsid w:val="00EC6B57"/>
    <w:pPr>
      <w:keepNext/>
      <w:keepLines/>
      <w:widowControl/>
      <w:spacing w:before="60" w:after="60"/>
    </w:pPr>
    <w:rPr>
      <w:rFonts w:cs="Arial"/>
      <w:b/>
      <w:i/>
      <w:sz w:val="18"/>
      <w:szCs w:val="22"/>
      <w:lang w:eastAsia="en-AU" w:bidi="ar-SA"/>
    </w:rPr>
  </w:style>
  <w:style w:type="paragraph" w:customStyle="1" w:styleId="FSCtblMain">
    <w:name w:val="FSC_tbl_Main"/>
    <w:basedOn w:val="Normal"/>
    <w:rsid w:val="00EC6B57"/>
    <w:pPr>
      <w:keepLines/>
      <w:widowControl/>
      <w:tabs>
        <w:tab w:val="right" w:pos="3969"/>
      </w:tabs>
      <w:spacing w:before="60" w:after="60"/>
    </w:pPr>
    <w:rPr>
      <w:rFonts w:cs="Arial"/>
      <w:sz w:val="18"/>
      <w:szCs w:val="20"/>
      <w:lang w:eastAsia="en-AU" w:bidi="ar-SA"/>
    </w:rPr>
  </w:style>
  <w:style w:type="table" w:customStyle="1" w:styleId="TableGrid1">
    <w:name w:val="Table Grid1"/>
    <w:basedOn w:val="TableNormal"/>
    <w:next w:val="TableGrid"/>
    <w:uiPriority w:val="59"/>
    <w:rsid w:val="00C366D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C366D2"/>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F42937"/>
    <w:rPr>
      <w:rFonts w:ascii="Arial" w:hAnsi="Arial"/>
      <w:lang w:eastAsia="en-US" w:bidi="en-US"/>
    </w:rPr>
  </w:style>
  <w:style w:type="paragraph" w:styleId="ListParagraph">
    <w:name w:val="List Paragraph"/>
    <w:basedOn w:val="Normal"/>
    <w:uiPriority w:val="34"/>
    <w:qFormat/>
    <w:rsid w:val="00D9175E"/>
    <w:pPr>
      <w:widowControl/>
      <w:spacing w:after="160" w:line="259" w:lineRule="auto"/>
      <w:ind w:left="720"/>
      <w:contextualSpacing/>
    </w:pPr>
    <w:rPr>
      <w:rFonts w:asciiTheme="minorHAnsi" w:eastAsiaTheme="minorHAnsi" w:hAnsiTheme="minorHAnsi" w:cstheme="minorBidi"/>
      <w:szCs w:val="22"/>
      <w:lang w:val="en-US" w:bidi="ar-SA"/>
    </w:rPr>
  </w:style>
  <w:style w:type="paragraph" w:customStyle="1" w:styleId="Default">
    <w:name w:val="Default"/>
    <w:rsid w:val="004D187E"/>
    <w:pPr>
      <w:autoSpaceDE w:val="0"/>
      <w:autoSpaceDN w:val="0"/>
      <w:adjustRightInd w:val="0"/>
    </w:pPr>
    <w:rPr>
      <w:rFonts w:ascii="Symbol" w:hAnsi="Symbol" w:cs="Symbol"/>
      <w:color w:val="000000"/>
      <w:sz w:val="24"/>
      <w:szCs w:val="24"/>
    </w:rPr>
  </w:style>
  <w:style w:type="table" w:customStyle="1" w:styleId="TableGrid2">
    <w:name w:val="Table Grid2"/>
    <w:basedOn w:val="TableNormal"/>
    <w:next w:val="TableGrid"/>
    <w:uiPriority w:val="59"/>
    <w:rsid w:val="000C76B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Main">
    <w:name w:val="FSC_t_Main"/>
    <w:basedOn w:val="Normal"/>
    <w:rsid w:val="00EC6B57"/>
    <w:pPr>
      <w:tabs>
        <w:tab w:val="left" w:pos="1134"/>
      </w:tabs>
      <w:spacing w:before="120" w:after="120"/>
      <w:ind w:left="1701" w:hanging="1701"/>
    </w:pPr>
    <w:rPr>
      <w:rFonts w:cs="Arial"/>
      <w:iCs/>
      <w:sz w:val="20"/>
      <w:szCs w:val="22"/>
      <w:lang w:eastAsia="en-AU" w:bidi="ar-SA"/>
    </w:rPr>
  </w:style>
  <w:style w:type="paragraph" w:customStyle="1" w:styleId="FSCnatHeading">
    <w:name w:val="FSC_n_at_Heading"/>
    <w:basedOn w:val="FSCtMain"/>
    <w:qFormat/>
    <w:rsid w:val="00EC6B57"/>
    <w:pPr>
      <w:ind w:left="851" w:hanging="851"/>
    </w:pPr>
    <w:rPr>
      <w:sz w:val="16"/>
    </w:rPr>
  </w:style>
  <w:style w:type="paragraph" w:customStyle="1" w:styleId="FSCnMain">
    <w:name w:val="FSC_n_Main"/>
    <w:basedOn w:val="Normal"/>
    <w:qFormat/>
    <w:rsid w:val="00EC6B57"/>
    <w:pPr>
      <w:tabs>
        <w:tab w:val="left" w:pos="1701"/>
      </w:tabs>
      <w:spacing w:before="60" w:after="60"/>
      <w:ind w:left="2268" w:hanging="2268"/>
    </w:pPr>
    <w:rPr>
      <w:rFonts w:cs="Arial"/>
      <w:sz w:val="16"/>
      <w:szCs w:val="18"/>
      <w:lang w:eastAsia="en-AU" w:bidi="ar-SA"/>
    </w:rPr>
  </w:style>
  <w:style w:type="paragraph" w:customStyle="1" w:styleId="FSCtDefn">
    <w:name w:val="FSC_t_Defn"/>
    <w:basedOn w:val="FSCtMain"/>
    <w:rsid w:val="00EC6B57"/>
    <w:pPr>
      <w:ind w:firstLine="0"/>
    </w:pPr>
  </w:style>
  <w:style w:type="paragraph" w:customStyle="1" w:styleId="FSCtblh3">
    <w:name w:val="FSC_tbl_h3"/>
    <w:basedOn w:val="Normal"/>
    <w:next w:val="Normal"/>
    <w:rsid w:val="00EC6B57"/>
    <w:pPr>
      <w:keepNext/>
      <w:keepLines/>
      <w:widowControl/>
      <w:spacing w:before="60" w:after="60"/>
    </w:pPr>
    <w:rPr>
      <w:rFonts w:cs="Arial"/>
      <w:b/>
      <w:i/>
      <w:sz w:val="18"/>
      <w:szCs w:val="22"/>
      <w:lang w:eastAsia="en-AU" w:bidi="ar-SA"/>
    </w:rPr>
  </w:style>
  <w:style w:type="paragraph" w:customStyle="1" w:styleId="FSCtblMain">
    <w:name w:val="FSC_tbl_Main"/>
    <w:basedOn w:val="Normal"/>
    <w:rsid w:val="00EC6B57"/>
    <w:pPr>
      <w:keepLines/>
      <w:widowControl/>
      <w:tabs>
        <w:tab w:val="right" w:pos="3969"/>
      </w:tabs>
      <w:spacing w:before="60" w:after="60"/>
    </w:pPr>
    <w:rPr>
      <w:rFonts w:cs="Arial"/>
      <w:sz w:val="18"/>
      <w:szCs w:val="20"/>
      <w:lang w:eastAsia="en-AU" w:bidi="ar-SA"/>
    </w:rPr>
  </w:style>
  <w:style w:type="table" w:customStyle="1" w:styleId="TableGrid1">
    <w:name w:val="Table Grid1"/>
    <w:basedOn w:val="TableNormal"/>
    <w:next w:val="TableGrid"/>
    <w:uiPriority w:val="59"/>
    <w:rsid w:val="00C366D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C366D2"/>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424">
      <w:bodyDiv w:val="1"/>
      <w:marLeft w:val="0"/>
      <w:marRight w:val="0"/>
      <w:marTop w:val="0"/>
      <w:marBottom w:val="0"/>
      <w:divBdr>
        <w:top w:val="none" w:sz="0" w:space="0" w:color="auto"/>
        <w:left w:val="none" w:sz="0" w:space="0" w:color="auto"/>
        <w:bottom w:val="none" w:sz="0" w:space="0" w:color="auto"/>
        <w:right w:val="none" w:sz="0" w:space="0" w:color="auto"/>
      </w:divBdr>
    </w:div>
    <w:div w:id="383869947">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94120998">
      <w:bodyDiv w:val="1"/>
      <w:marLeft w:val="0"/>
      <w:marRight w:val="0"/>
      <w:marTop w:val="0"/>
      <w:marBottom w:val="0"/>
      <w:divBdr>
        <w:top w:val="none" w:sz="0" w:space="0" w:color="auto"/>
        <w:left w:val="none" w:sz="0" w:space="0" w:color="auto"/>
        <w:bottom w:val="none" w:sz="0" w:space="0" w:color="auto"/>
        <w:right w:val="none" w:sz="0" w:space="0" w:color="auto"/>
      </w:divBdr>
    </w:div>
    <w:div w:id="1252005160">
      <w:bodyDiv w:val="1"/>
      <w:marLeft w:val="0"/>
      <w:marRight w:val="0"/>
      <w:marTop w:val="0"/>
      <w:marBottom w:val="0"/>
      <w:divBdr>
        <w:top w:val="none" w:sz="0" w:space="0" w:color="auto"/>
        <w:left w:val="none" w:sz="0" w:space="0" w:color="auto"/>
        <w:bottom w:val="none" w:sz="0" w:space="0" w:color="auto"/>
        <w:right w:val="none" w:sz="0" w:space="0" w:color="auto"/>
      </w:divBdr>
    </w:div>
    <w:div w:id="140988886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codexalimentarius.org/standards/list-standards/en/?no_cache=1"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8"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proposals/Pages/P1039MicroReviewInfantFormula.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microbiollimits/Pages/Review-of-microbiological-criteria-(second-stage).aspx" TargetMode="External"/><Relationship Id="rId2" Type="http://schemas.openxmlformats.org/officeDocument/2006/relationships/hyperlink" Target="http://www.foodstandards.gov.au/code/microbiollimits/Pages/Review-of-microbiological-criteria-(second-stage).aspx" TargetMode="External"/><Relationship Id="rId1" Type="http://schemas.openxmlformats.org/officeDocument/2006/relationships/hyperlink" Target="http://www.foodstandards.gov.au/code/microbiollimits/Pages/Review-of-microbiological-criteria-(second-st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26DD5-CF93-4C42-B486-AA5E58FA6D61}"/>
</file>

<file path=customXml/itemProps2.xml><?xml version="1.0" encoding="utf-8"?>
<ds:datastoreItem xmlns:ds="http://schemas.openxmlformats.org/officeDocument/2006/customXml" ds:itemID="{2B18F51D-5050-46AC-932C-A5C1D5024593}"/>
</file>

<file path=customXml/itemProps3.xml><?xml version="1.0" encoding="utf-8"?>
<ds:datastoreItem xmlns:ds="http://schemas.openxmlformats.org/officeDocument/2006/customXml" ds:itemID="{C7665D9A-AB26-4BDA-8E0F-09A4D0BB3C40}"/>
</file>

<file path=customXml/itemProps4.xml><?xml version="1.0" encoding="utf-8"?>
<ds:datastoreItem xmlns:ds="http://schemas.openxmlformats.org/officeDocument/2006/customXml" ds:itemID="{1B355D38-5AD0-4195-91CA-26A519005C50}"/>
</file>

<file path=customXml/itemProps5.xml><?xml version="1.0" encoding="utf-8"?>
<ds:datastoreItem xmlns:ds="http://schemas.openxmlformats.org/officeDocument/2006/customXml" ds:itemID="{BC1B35E4-70DF-4C8B-9B36-303D1B36F98D}"/>
</file>

<file path=customXml/itemProps6.xml><?xml version="1.0" encoding="utf-8"?>
<ds:datastoreItem xmlns:ds="http://schemas.openxmlformats.org/officeDocument/2006/customXml" ds:itemID="{E651428E-1C73-40D1-96D7-132923B4FD66}"/>
</file>

<file path=docProps/app.xml><?xml version="1.0" encoding="utf-8"?>
<Properties xmlns="http://schemas.openxmlformats.org/officeDocument/2006/extended-properties" xmlns:vt="http://schemas.openxmlformats.org/officeDocument/2006/docPropsVTypes">
  <Template>Normal.dotm</Template>
  <TotalTime>6</TotalTime>
  <Pages>19</Pages>
  <Words>6554</Words>
  <Characters>37361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P1039 Call for Submissions Report</vt:lpstr>
    </vt:vector>
  </TitlesOfParts>
  <Company>ANZFA</Company>
  <LinksUpToDate>false</LinksUpToDate>
  <CharactersWithSpaces>43828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P1039 Call for Submissions Report</dc:title>
  <dc:creator>blenmp</dc:creator>
  <cp:keywords>Microbiological criteria infant formula</cp:keywords>
  <cp:lastModifiedBy>humphc</cp:lastModifiedBy>
  <cp:revision>6</cp:revision>
  <cp:lastPrinted>2012-03-26T22:36:00Z</cp:lastPrinted>
  <dcterms:created xsi:type="dcterms:W3CDTF">2015-10-07T03:29:00Z</dcterms:created>
  <dcterms:modified xsi:type="dcterms:W3CDTF">2015-10-07T05:12:00Z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c9dbbe33-2fb1-4453-b4a1-4d4a59bbcd09</vt:lpwstr>
  </property>
  <property fmtid="{D5CDD505-2E9C-101B-9397-08002B2CF9AE}" pid="6" name="a41428b017d04df981d58ffdf035d7b8">
    <vt:lpwstr/>
  </property>
  <property fmtid="{D5CDD505-2E9C-101B-9397-08002B2CF9AE}" pid="7" name="Related project">
    <vt:lpwstr>W1044 P1039</vt:lpwstr>
  </property>
  <property fmtid="{D5CDD505-2E9C-101B-9397-08002B2CF9AE}" pid="8" name="SPPCopyMoveEvent">
    <vt:lpwstr>1</vt:lpwstr>
  </property>
  <property fmtid="{D5CDD505-2E9C-101B-9397-08002B2CF9AE}" pid="9" name="bd06d2da0152468b9236b575a71e0e7c">
    <vt:lpwstr>Evaluation|43bd8487-b9f6-4055-946c-a118d364275d</vt:lpwstr>
  </property>
  <property fmtid="{D5CDD505-2E9C-101B-9397-08002B2CF9AE}" pid="10" name="TaxCatchAll">
    <vt:lpwstr>7;#Evaluation|43bd8487-b9f6-4055-946c-a118d364275d</vt:lpwstr>
  </property>
</Properties>
</file>